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A122D" w14:textId="77777777" w:rsidR="00B0565F" w:rsidRPr="009A10F6" w:rsidRDefault="00B0565F" w:rsidP="00B0565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AVISO N.º ……/GBM/2023</w:t>
      </w:r>
    </w:p>
    <w:p w14:paraId="29E8367E" w14:textId="38C2C97F" w:rsidR="00B0565F" w:rsidRPr="009A10F6" w:rsidRDefault="00B0565F" w:rsidP="00B0565F">
      <w:pPr>
        <w:pStyle w:val="Heading3"/>
        <w:rPr>
          <w:sz w:val="26"/>
          <w:szCs w:val="26"/>
        </w:rPr>
      </w:pPr>
      <w:bookmarkStart w:id="0" w:name="_Toc5720074"/>
      <w:bookmarkStart w:id="1" w:name="_Toc5720143"/>
      <w:bookmarkStart w:id="2" w:name="_Toc8669101"/>
      <w:bookmarkStart w:id="3" w:name="_Toc9440727"/>
      <w:proofErr w:type="gramStart"/>
      <w:r w:rsidRPr="009A10F6">
        <w:rPr>
          <w:sz w:val="26"/>
          <w:szCs w:val="26"/>
        </w:rPr>
        <w:t>MAPUTO, ….</w:t>
      </w:r>
      <w:proofErr w:type="gramEnd"/>
      <w:r w:rsidRPr="009A10F6">
        <w:rPr>
          <w:sz w:val="26"/>
          <w:szCs w:val="26"/>
        </w:rPr>
        <w:t xml:space="preserve">. DE </w:t>
      </w:r>
      <w:proofErr w:type="gramStart"/>
      <w:r w:rsidR="00454E3B">
        <w:rPr>
          <w:sz w:val="26"/>
          <w:szCs w:val="26"/>
        </w:rPr>
        <w:t>OUTUBRO</w:t>
      </w:r>
      <w:proofErr w:type="gramEnd"/>
      <w:r w:rsidR="004E5E55" w:rsidRPr="009A10F6">
        <w:rPr>
          <w:sz w:val="26"/>
          <w:szCs w:val="26"/>
        </w:rPr>
        <w:t xml:space="preserve"> </w:t>
      </w:r>
      <w:r w:rsidRPr="009A10F6">
        <w:rPr>
          <w:sz w:val="26"/>
          <w:szCs w:val="26"/>
        </w:rPr>
        <w:t>DE 20</w:t>
      </w:r>
      <w:bookmarkEnd w:id="0"/>
      <w:bookmarkEnd w:id="1"/>
      <w:bookmarkEnd w:id="2"/>
      <w:bookmarkEnd w:id="3"/>
      <w:r w:rsidRPr="009A10F6">
        <w:rPr>
          <w:sz w:val="26"/>
          <w:szCs w:val="26"/>
        </w:rPr>
        <w:t>23</w:t>
      </w:r>
    </w:p>
    <w:p w14:paraId="4C7F5A36" w14:textId="77777777" w:rsidR="00B0565F" w:rsidRPr="009A10F6" w:rsidRDefault="00B0565F" w:rsidP="00B0565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B0565F" w:rsidRPr="00AC0F10" w14:paraId="40815DD3" w14:textId="77777777" w:rsidTr="003F4E66">
        <w:tc>
          <w:tcPr>
            <w:tcW w:w="1560" w:type="dxa"/>
          </w:tcPr>
          <w:p w14:paraId="4CB4ACAC" w14:textId="77777777" w:rsidR="00B0565F" w:rsidRPr="009A10F6" w:rsidRDefault="00B0565F" w:rsidP="003F4E66">
            <w:pPr>
              <w:pStyle w:val="Heading2"/>
              <w:jc w:val="both"/>
              <w:outlineLvl w:val="1"/>
              <w:rPr>
                <w:sz w:val="26"/>
                <w:szCs w:val="26"/>
              </w:rPr>
            </w:pPr>
            <w:bookmarkStart w:id="4" w:name="_Toc349968"/>
            <w:bookmarkStart w:id="5" w:name="_Toc350090"/>
            <w:bookmarkStart w:id="6" w:name="_Toc5720075"/>
            <w:bookmarkStart w:id="7" w:name="_Toc5720144"/>
            <w:bookmarkStart w:id="8" w:name="_Toc8669102"/>
            <w:bookmarkStart w:id="9" w:name="_Toc9440728"/>
            <w:r w:rsidRPr="009A10F6">
              <w:rPr>
                <w:sz w:val="26"/>
                <w:szCs w:val="26"/>
              </w:rPr>
              <w:t>ASSUNTO:</w:t>
            </w:r>
          </w:p>
          <w:bookmarkEnd w:id="4"/>
          <w:bookmarkEnd w:id="5"/>
          <w:bookmarkEnd w:id="6"/>
          <w:bookmarkEnd w:id="7"/>
          <w:bookmarkEnd w:id="8"/>
          <w:bookmarkEnd w:id="9"/>
          <w:p w14:paraId="4A512145" w14:textId="77777777" w:rsidR="00B0565F" w:rsidRPr="009A10F6" w:rsidRDefault="00B0565F" w:rsidP="003F4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7512" w:type="dxa"/>
          </w:tcPr>
          <w:p w14:paraId="2576254A" w14:textId="7AD709F9" w:rsidR="00B0565F" w:rsidRPr="009A10F6" w:rsidRDefault="00DC6B5B" w:rsidP="00DC6B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PT"/>
              </w:rPr>
              <w:t xml:space="preserve">REGULAMENTO DO REGIME DE CONTAS </w:t>
            </w:r>
            <w:r w:rsidR="00B0565F" w:rsidRPr="009A10F6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PT"/>
              </w:rPr>
              <w:t>BANCÁRIAS</w:t>
            </w:r>
            <w:r w:rsidR="00762DCF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PT"/>
              </w:rPr>
              <w:t xml:space="preserve"> </w:t>
            </w:r>
          </w:p>
        </w:tc>
      </w:tr>
    </w:tbl>
    <w:p w14:paraId="204959D1" w14:textId="33AE30CE" w:rsidR="00B0565F" w:rsidRPr="009A10F6" w:rsidRDefault="00795F74" w:rsidP="00B0565F">
      <w:pPr>
        <w:pStyle w:val="BodyText2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B0565F" w:rsidRPr="009A10F6">
        <w:rPr>
          <w:rFonts w:ascii="Times New Roman" w:hAnsi="Times New Roman"/>
          <w:sz w:val="26"/>
          <w:szCs w:val="26"/>
        </w:rPr>
        <w:t xml:space="preserve"> Regime Jurídico de Contas Bancárias institui uma disciplina uniformizada </w:t>
      </w:r>
      <w:r w:rsidR="004E5E55">
        <w:rPr>
          <w:rFonts w:ascii="Times New Roman" w:hAnsi="Times New Roman"/>
          <w:sz w:val="26"/>
          <w:szCs w:val="26"/>
        </w:rPr>
        <w:t>relativa às</w:t>
      </w:r>
      <w:r w:rsidR="004E5E55" w:rsidRPr="009A10F6">
        <w:rPr>
          <w:rFonts w:ascii="Times New Roman" w:hAnsi="Times New Roman"/>
          <w:sz w:val="26"/>
          <w:szCs w:val="26"/>
        </w:rPr>
        <w:t xml:space="preserve"> </w:t>
      </w:r>
      <w:r w:rsidR="00B0565F" w:rsidRPr="009A10F6">
        <w:rPr>
          <w:rFonts w:ascii="Times New Roman" w:hAnsi="Times New Roman"/>
          <w:sz w:val="26"/>
          <w:szCs w:val="26"/>
        </w:rPr>
        <w:t xml:space="preserve">contas bancárias, bem como a conta bancária básica ou simplificada. </w:t>
      </w:r>
      <w:r w:rsidR="004E5E55">
        <w:rPr>
          <w:rFonts w:ascii="Times New Roman" w:hAnsi="Times New Roman"/>
          <w:sz w:val="26"/>
          <w:szCs w:val="26"/>
        </w:rPr>
        <w:t>Havendo</w:t>
      </w:r>
      <w:r w:rsidR="00B0565F" w:rsidRPr="009A10F6">
        <w:rPr>
          <w:rFonts w:ascii="Times New Roman" w:hAnsi="Times New Roman"/>
          <w:sz w:val="26"/>
          <w:szCs w:val="26"/>
        </w:rPr>
        <w:t xml:space="preserve"> </w:t>
      </w:r>
      <w:r w:rsidR="004E5E55" w:rsidRPr="009A10F6">
        <w:rPr>
          <w:rFonts w:ascii="Times New Roman" w:hAnsi="Times New Roman"/>
          <w:sz w:val="26"/>
          <w:szCs w:val="26"/>
        </w:rPr>
        <w:t>necess</w:t>
      </w:r>
      <w:r w:rsidR="004E5E55">
        <w:rPr>
          <w:rFonts w:ascii="Times New Roman" w:hAnsi="Times New Roman"/>
          <w:sz w:val="26"/>
          <w:szCs w:val="26"/>
        </w:rPr>
        <w:t>idade de</w:t>
      </w:r>
      <w:r w:rsidR="004E5E55" w:rsidRPr="009A10F6">
        <w:rPr>
          <w:rFonts w:ascii="Times New Roman" w:hAnsi="Times New Roman"/>
          <w:sz w:val="26"/>
          <w:szCs w:val="26"/>
        </w:rPr>
        <w:t xml:space="preserve"> </w:t>
      </w:r>
      <w:r w:rsidR="00B0565F" w:rsidRPr="009A10F6">
        <w:rPr>
          <w:rFonts w:ascii="Times New Roman" w:hAnsi="Times New Roman"/>
          <w:sz w:val="26"/>
          <w:szCs w:val="26"/>
        </w:rPr>
        <w:t xml:space="preserve">definir </w:t>
      </w:r>
      <w:r w:rsidR="004E5E55">
        <w:rPr>
          <w:rFonts w:ascii="Times New Roman" w:hAnsi="Times New Roman"/>
          <w:sz w:val="26"/>
          <w:szCs w:val="26"/>
        </w:rPr>
        <w:t xml:space="preserve">as regras e </w:t>
      </w:r>
      <w:r w:rsidR="00B0565F" w:rsidRPr="009A10F6">
        <w:rPr>
          <w:rFonts w:ascii="Times New Roman" w:hAnsi="Times New Roman"/>
          <w:sz w:val="26"/>
          <w:szCs w:val="26"/>
        </w:rPr>
        <w:t>procedimentos para a boa execução da Lei, o Banco de Moçambique, no uso da</w:t>
      </w:r>
      <w:r w:rsidR="004E5E55">
        <w:rPr>
          <w:rFonts w:ascii="Times New Roman" w:hAnsi="Times New Roman"/>
          <w:sz w:val="26"/>
          <w:szCs w:val="26"/>
        </w:rPr>
        <w:t>s</w:t>
      </w:r>
      <w:r w:rsidR="00B0565F" w:rsidRPr="009A10F6">
        <w:rPr>
          <w:rFonts w:ascii="Times New Roman" w:hAnsi="Times New Roman"/>
          <w:sz w:val="26"/>
          <w:szCs w:val="26"/>
        </w:rPr>
        <w:t xml:space="preserve"> competência</w:t>
      </w:r>
      <w:r w:rsidR="004E5E55">
        <w:rPr>
          <w:rFonts w:ascii="Times New Roman" w:hAnsi="Times New Roman"/>
          <w:sz w:val="26"/>
          <w:szCs w:val="26"/>
        </w:rPr>
        <w:t>s</w:t>
      </w:r>
      <w:r w:rsidR="00B0565F" w:rsidRPr="009A10F6">
        <w:rPr>
          <w:rFonts w:ascii="Times New Roman" w:hAnsi="Times New Roman"/>
          <w:sz w:val="26"/>
          <w:szCs w:val="26"/>
        </w:rPr>
        <w:t xml:space="preserve"> que lhe </w:t>
      </w:r>
      <w:r w:rsidR="004E5E55">
        <w:rPr>
          <w:rFonts w:ascii="Times New Roman" w:hAnsi="Times New Roman"/>
          <w:sz w:val="26"/>
          <w:szCs w:val="26"/>
        </w:rPr>
        <w:t>são</w:t>
      </w:r>
      <w:r w:rsidR="004E5E55" w:rsidRPr="009A10F6">
        <w:rPr>
          <w:rFonts w:ascii="Times New Roman" w:hAnsi="Times New Roman"/>
          <w:sz w:val="26"/>
          <w:szCs w:val="26"/>
        </w:rPr>
        <w:t xml:space="preserve"> </w:t>
      </w:r>
      <w:r w:rsidR="00B0565F" w:rsidRPr="009A10F6">
        <w:rPr>
          <w:rFonts w:ascii="Times New Roman" w:hAnsi="Times New Roman"/>
          <w:sz w:val="26"/>
          <w:szCs w:val="26"/>
        </w:rPr>
        <w:t>conferida</w:t>
      </w:r>
      <w:r w:rsidR="004E5E55">
        <w:rPr>
          <w:rFonts w:ascii="Times New Roman" w:hAnsi="Times New Roman"/>
          <w:sz w:val="26"/>
          <w:szCs w:val="26"/>
        </w:rPr>
        <w:t>s</w:t>
      </w:r>
      <w:r w:rsidR="00B0565F" w:rsidRPr="009A10F6">
        <w:rPr>
          <w:rFonts w:ascii="Times New Roman" w:hAnsi="Times New Roman"/>
          <w:sz w:val="26"/>
          <w:szCs w:val="26"/>
        </w:rPr>
        <w:t xml:space="preserve"> pelo </w:t>
      </w:r>
      <w:r w:rsidR="004E5E55">
        <w:rPr>
          <w:rFonts w:ascii="Times New Roman" w:hAnsi="Times New Roman"/>
          <w:sz w:val="26"/>
          <w:szCs w:val="26"/>
        </w:rPr>
        <w:t xml:space="preserve">n.º 1 do artigo 44 e </w:t>
      </w:r>
      <w:r w:rsidR="00B0565F" w:rsidRPr="009A10F6">
        <w:rPr>
          <w:rFonts w:ascii="Times New Roman" w:hAnsi="Times New Roman"/>
          <w:sz w:val="26"/>
          <w:szCs w:val="26"/>
        </w:rPr>
        <w:t xml:space="preserve">n.º 2 do artigo 56 </w:t>
      </w:r>
      <w:r w:rsidR="004E5E55">
        <w:rPr>
          <w:rFonts w:ascii="Times New Roman" w:hAnsi="Times New Roman"/>
          <w:sz w:val="26"/>
          <w:szCs w:val="26"/>
        </w:rPr>
        <w:t xml:space="preserve">ambos </w:t>
      </w:r>
      <w:r w:rsidR="00B0565F" w:rsidRPr="009A10F6">
        <w:rPr>
          <w:rFonts w:ascii="Times New Roman" w:hAnsi="Times New Roman"/>
          <w:sz w:val="26"/>
          <w:szCs w:val="26"/>
        </w:rPr>
        <w:t xml:space="preserve">da Lei n.º 27/2022, de 29 de </w:t>
      </w:r>
      <w:proofErr w:type="gramStart"/>
      <w:r w:rsidR="00B0565F" w:rsidRPr="009A10F6">
        <w:rPr>
          <w:rFonts w:ascii="Times New Roman" w:hAnsi="Times New Roman"/>
          <w:sz w:val="26"/>
          <w:szCs w:val="26"/>
        </w:rPr>
        <w:t>Dezembro</w:t>
      </w:r>
      <w:proofErr w:type="gramEnd"/>
      <w:r w:rsidR="00B0565F" w:rsidRPr="009A10F6">
        <w:rPr>
          <w:rFonts w:ascii="Times New Roman" w:hAnsi="Times New Roman"/>
          <w:sz w:val="26"/>
          <w:szCs w:val="26"/>
        </w:rPr>
        <w:t>, determina:</w:t>
      </w:r>
    </w:p>
    <w:p w14:paraId="390761AC" w14:textId="77777777" w:rsidR="00B0565F" w:rsidRPr="009A10F6" w:rsidRDefault="00B0565F" w:rsidP="00B0565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pt-PT"/>
        </w:rPr>
      </w:pPr>
    </w:p>
    <w:p w14:paraId="6B3AC68B" w14:textId="77777777" w:rsidR="00B0565F" w:rsidRPr="009A10F6" w:rsidRDefault="00B0565F" w:rsidP="00B0565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color w:val="auto"/>
          <w:sz w:val="26"/>
          <w:szCs w:val="26"/>
          <w:lang w:val="pt-PT"/>
        </w:rPr>
        <w:t>CAPÍTULO I</w:t>
      </w:r>
    </w:p>
    <w:p w14:paraId="48DFB224" w14:textId="77777777" w:rsidR="00B0565F" w:rsidRPr="009A10F6" w:rsidRDefault="00B0565F" w:rsidP="00B0565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pt-PT"/>
        </w:rPr>
      </w:pPr>
      <w:bookmarkStart w:id="10" w:name="_Toc24707953"/>
      <w:r w:rsidRPr="009A10F6">
        <w:rPr>
          <w:rFonts w:ascii="Times New Roman" w:hAnsi="Times New Roman" w:cs="Times New Roman"/>
          <w:b/>
          <w:color w:val="auto"/>
          <w:sz w:val="26"/>
          <w:szCs w:val="26"/>
          <w:lang w:val="pt-PT"/>
        </w:rPr>
        <w:t>DISPOSIÇÕES GERAIS</w:t>
      </w:r>
      <w:bookmarkEnd w:id="10"/>
    </w:p>
    <w:p w14:paraId="48C1DB6E" w14:textId="77777777" w:rsidR="00B0565F" w:rsidRPr="009A10F6" w:rsidRDefault="00B0565F" w:rsidP="00B0565F">
      <w:pPr>
        <w:pStyle w:val="Heading2"/>
        <w:rPr>
          <w:sz w:val="26"/>
          <w:szCs w:val="26"/>
          <w:u w:val="none"/>
        </w:rPr>
      </w:pPr>
      <w:bookmarkStart w:id="11" w:name="_Toc24707954"/>
    </w:p>
    <w:p w14:paraId="500BE852" w14:textId="77777777" w:rsidR="00B0565F" w:rsidRPr="009A10F6" w:rsidRDefault="00B0565F" w:rsidP="00B0565F">
      <w:pPr>
        <w:pStyle w:val="Heading2"/>
        <w:rPr>
          <w:sz w:val="26"/>
          <w:szCs w:val="26"/>
          <w:u w:val="none"/>
        </w:rPr>
      </w:pPr>
      <w:r w:rsidRPr="009A10F6">
        <w:rPr>
          <w:sz w:val="26"/>
          <w:szCs w:val="26"/>
          <w:u w:val="none"/>
        </w:rPr>
        <w:t>Artigo 1</w:t>
      </w:r>
      <w:bookmarkStart w:id="12" w:name="_Toc24707955"/>
      <w:bookmarkEnd w:id="11"/>
    </w:p>
    <w:p w14:paraId="73DC7810" w14:textId="77777777" w:rsidR="00B0565F" w:rsidRPr="009A10F6" w:rsidRDefault="00B0565F" w:rsidP="00B0565F">
      <w:pPr>
        <w:pStyle w:val="Heading2"/>
        <w:rPr>
          <w:sz w:val="26"/>
          <w:szCs w:val="26"/>
          <w:u w:val="none"/>
        </w:rPr>
      </w:pPr>
      <w:r w:rsidRPr="009A10F6">
        <w:rPr>
          <w:sz w:val="26"/>
          <w:szCs w:val="26"/>
          <w:u w:val="none"/>
        </w:rPr>
        <w:t>Objecto</w:t>
      </w:r>
      <w:bookmarkEnd w:id="12"/>
    </w:p>
    <w:p w14:paraId="6BF6FBB1" w14:textId="376B9731" w:rsidR="00B0565F" w:rsidRPr="009A10F6" w:rsidRDefault="00B0565F" w:rsidP="00B0565F">
      <w:pPr>
        <w:pStyle w:val="BodyText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A10F6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val="pt-PT"/>
        </w:rPr>
        <w:t xml:space="preserve">O presente </w:t>
      </w:r>
      <w:r w:rsidR="00454E3B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val="pt-PT"/>
        </w:rPr>
        <w:t>Regulamento</w:t>
      </w:r>
      <w:r w:rsidRPr="009A10F6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val="pt-PT"/>
        </w:rPr>
        <w:t xml:space="preserve"> estabelece os procedimentos </w:t>
      </w:r>
      <w:r w:rsidR="00762DCF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val="pt-PT"/>
        </w:rPr>
        <w:t>de abertura e gestão de</w:t>
      </w:r>
      <w:r w:rsidRPr="009A10F6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val="pt-PT"/>
        </w:rPr>
        <w:t xml:space="preserve"> contas bancárias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14:paraId="7D229521" w14:textId="77777777" w:rsidR="00B0565F" w:rsidRPr="009A10F6" w:rsidRDefault="00B0565F" w:rsidP="00B0565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32C01F7B" w14:textId="77777777" w:rsidR="00B0565F" w:rsidRPr="009A10F6" w:rsidRDefault="00B0565F" w:rsidP="00B0565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Artigo 2</w:t>
      </w:r>
    </w:p>
    <w:p w14:paraId="0F847B57" w14:textId="77777777" w:rsidR="00B0565F" w:rsidRPr="009A10F6" w:rsidRDefault="00B0565F" w:rsidP="00B0565F">
      <w:pPr>
        <w:pStyle w:val="Heading4"/>
        <w:rPr>
          <w:sz w:val="26"/>
          <w:szCs w:val="26"/>
        </w:rPr>
      </w:pPr>
      <w:r w:rsidRPr="009A10F6">
        <w:rPr>
          <w:sz w:val="26"/>
          <w:szCs w:val="26"/>
        </w:rPr>
        <w:t xml:space="preserve">Âmbito </w:t>
      </w:r>
    </w:p>
    <w:p w14:paraId="687C8149" w14:textId="0293A7A7" w:rsidR="00B0565F" w:rsidRPr="009A10F6" w:rsidRDefault="00B0565F" w:rsidP="00B0565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val="pt-PT"/>
        </w:rPr>
      </w:pPr>
      <w:r w:rsidRPr="009A10F6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val="pt-PT"/>
        </w:rPr>
        <w:t xml:space="preserve">O presente </w:t>
      </w:r>
      <w:r w:rsidR="00454E3B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val="pt-PT"/>
        </w:rPr>
        <w:t>Regulamento</w:t>
      </w:r>
      <w:r w:rsidRPr="009A10F6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val="pt-PT"/>
        </w:rPr>
        <w:t xml:space="preserve"> aplica-se:</w:t>
      </w:r>
    </w:p>
    <w:p w14:paraId="0B78AEB4" w14:textId="77777777" w:rsidR="00B0565F" w:rsidRPr="009A10F6" w:rsidRDefault="00B0565F" w:rsidP="00B0565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kern w:val="24"/>
          <w:sz w:val="26"/>
          <w:szCs w:val="26"/>
        </w:rPr>
      </w:pPr>
      <w:r w:rsidRPr="009A10F6">
        <w:rPr>
          <w:rFonts w:ascii="Times New Roman" w:hAnsi="Times New Roman"/>
          <w:color w:val="000000"/>
          <w:kern w:val="24"/>
          <w:sz w:val="26"/>
          <w:szCs w:val="26"/>
        </w:rPr>
        <w:t>Às instituições de crédito que captam depósitos; e</w:t>
      </w:r>
    </w:p>
    <w:p w14:paraId="2FD2F96C" w14:textId="77777777" w:rsidR="00B0565F" w:rsidRPr="009A10F6" w:rsidRDefault="00B0565F" w:rsidP="00B0565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kern w:val="24"/>
          <w:sz w:val="26"/>
          <w:szCs w:val="26"/>
        </w:rPr>
      </w:pPr>
      <w:r w:rsidRPr="009A10F6">
        <w:rPr>
          <w:rFonts w:ascii="Times New Roman" w:hAnsi="Times New Roman"/>
          <w:color w:val="000000"/>
          <w:kern w:val="24"/>
          <w:sz w:val="26"/>
          <w:szCs w:val="26"/>
        </w:rPr>
        <w:t>Às pessoas singulares e colectivas, públicas e privadas, que sejam ou desejam ser titulares de contas bancárias nas instituições de crédito que captam depósitos</w:t>
      </w:r>
      <w:r w:rsidR="00AB7FAE">
        <w:rPr>
          <w:rFonts w:ascii="Times New Roman" w:hAnsi="Times New Roman"/>
          <w:color w:val="000000"/>
          <w:kern w:val="24"/>
          <w:sz w:val="26"/>
          <w:szCs w:val="26"/>
        </w:rPr>
        <w:t>, exceptuando às contas tituladas pelo Estado</w:t>
      </w:r>
      <w:r w:rsidRPr="009A10F6">
        <w:rPr>
          <w:rFonts w:ascii="Times New Roman" w:hAnsi="Times New Roman"/>
          <w:color w:val="000000"/>
          <w:kern w:val="24"/>
          <w:sz w:val="26"/>
          <w:szCs w:val="26"/>
        </w:rPr>
        <w:t>.</w:t>
      </w:r>
    </w:p>
    <w:p w14:paraId="1727F911" w14:textId="77777777" w:rsidR="00795F74" w:rsidRDefault="00795F74" w:rsidP="00B0565F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</w:p>
    <w:p w14:paraId="7F1E7335" w14:textId="50A3D635" w:rsidR="00795F74" w:rsidRDefault="00795F74" w:rsidP="00B0565F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</w:p>
    <w:p w14:paraId="385D8BB7" w14:textId="77777777" w:rsidR="007C29C3" w:rsidRDefault="007C29C3" w:rsidP="00B0565F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</w:p>
    <w:p w14:paraId="718BBC91" w14:textId="77777777" w:rsidR="009953E7" w:rsidRDefault="009953E7" w:rsidP="00B0565F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</w:p>
    <w:p w14:paraId="6AA41201" w14:textId="5A6BB857" w:rsidR="00B0565F" w:rsidRPr="009A10F6" w:rsidRDefault="00B0565F" w:rsidP="00B0565F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b/>
          <w:color w:val="000000"/>
          <w:sz w:val="26"/>
          <w:szCs w:val="26"/>
          <w:lang w:val="pt-PT"/>
        </w:rPr>
        <w:t>Artigo 3</w:t>
      </w:r>
    </w:p>
    <w:p w14:paraId="3353AF5E" w14:textId="77777777" w:rsidR="00B0565F" w:rsidRPr="009A10F6" w:rsidRDefault="00B0565F" w:rsidP="00B0565F">
      <w:pPr>
        <w:pStyle w:val="NoSpacing"/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b/>
          <w:bCs/>
          <w:color w:val="000000"/>
          <w:sz w:val="26"/>
          <w:szCs w:val="26"/>
          <w:lang w:val="pt-PT"/>
        </w:rPr>
        <w:t>Definições</w:t>
      </w:r>
    </w:p>
    <w:p w14:paraId="2C7B7E6B" w14:textId="19691656" w:rsidR="00B0565F" w:rsidRDefault="00B0565F" w:rsidP="00B0565F">
      <w:pPr>
        <w:pStyle w:val="NoSpacing"/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bCs/>
          <w:color w:val="000000"/>
          <w:sz w:val="26"/>
          <w:szCs w:val="26"/>
          <w:lang w:val="pt-PT"/>
        </w:rPr>
        <w:lastRenderedPageBreak/>
        <w:t xml:space="preserve">O significado dos termos utilizados no presente </w:t>
      </w:r>
      <w:r w:rsidR="00454E3B">
        <w:rPr>
          <w:rFonts w:ascii="Times New Roman" w:hAnsi="Times New Roman"/>
          <w:bCs/>
          <w:color w:val="000000"/>
          <w:sz w:val="26"/>
          <w:szCs w:val="26"/>
          <w:lang w:val="pt-PT"/>
        </w:rPr>
        <w:t>Regulamento</w:t>
      </w:r>
      <w:r w:rsidRPr="009A10F6">
        <w:rPr>
          <w:rFonts w:ascii="Times New Roman" w:hAnsi="Times New Roman"/>
          <w:bCs/>
          <w:color w:val="000000"/>
          <w:sz w:val="26"/>
          <w:szCs w:val="26"/>
          <w:lang w:val="pt-PT"/>
        </w:rPr>
        <w:t xml:space="preserve"> consta do Glossário, em </w:t>
      </w:r>
      <w:r w:rsidRPr="009A10F6">
        <w:rPr>
          <w:rFonts w:ascii="Times New Roman" w:hAnsi="Times New Roman"/>
          <w:b/>
          <w:bCs/>
          <w:color w:val="000000"/>
          <w:sz w:val="26"/>
          <w:szCs w:val="26"/>
          <w:lang w:val="pt-PT"/>
        </w:rPr>
        <w:t>Anexo I</w:t>
      </w:r>
      <w:r w:rsidRPr="009A10F6">
        <w:rPr>
          <w:rFonts w:ascii="Times New Roman" w:hAnsi="Times New Roman"/>
          <w:bCs/>
          <w:color w:val="000000"/>
          <w:sz w:val="26"/>
          <w:szCs w:val="26"/>
          <w:lang w:val="pt-PT"/>
        </w:rPr>
        <w:t>, que é parte integrante.</w:t>
      </w:r>
    </w:p>
    <w:p w14:paraId="3FF86804" w14:textId="77777777" w:rsidR="00454E3B" w:rsidRDefault="00454E3B" w:rsidP="00BA367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4041274F" w14:textId="46BF9D0A" w:rsidR="00BA3675" w:rsidRPr="009A10F6" w:rsidRDefault="00BA3675" w:rsidP="00BA367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Artigo 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4</w:t>
      </w:r>
    </w:p>
    <w:p w14:paraId="1E8DE548" w14:textId="442A3494" w:rsidR="00BA3675" w:rsidRPr="009A10F6" w:rsidRDefault="00BA3675" w:rsidP="00BA367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Regime complementar </w:t>
      </w:r>
    </w:p>
    <w:p w14:paraId="44A1BDFE" w14:textId="32D46106" w:rsidR="00BA3675" w:rsidRPr="009A10F6" w:rsidRDefault="00BA3675" w:rsidP="00BA36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B30F8">
        <w:rPr>
          <w:rFonts w:ascii="Times New Roman" w:hAnsi="Times New Roman" w:cs="Times New Roman"/>
          <w:sz w:val="26"/>
          <w:szCs w:val="26"/>
          <w:lang w:val="pt-PT"/>
        </w:rPr>
        <w:t xml:space="preserve">Sem prejuízo das matérias reguladas no presente </w:t>
      </w:r>
      <w:r w:rsidR="00454E3B">
        <w:rPr>
          <w:rFonts w:ascii="Times New Roman" w:hAnsi="Times New Roman" w:cs="Times New Roman"/>
          <w:sz w:val="26"/>
          <w:szCs w:val="26"/>
          <w:lang w:val="pt-PT"/>
        </w:rPr>
        <w:t>Regulamento</w:t>
      </w:r>
      <w:r w:rsidRPr="009B30F8">
        <w:rPr>
          <w:rFonts w:ascii="Times New Roman" w:hAnsi="Times New Roman" w:cs="Times New Roman"/>
          <w:sz w:val="26"/>
          <w:szCs w:val="26"/>
          <w:lang w:val="pt-PT"/>
        </w:rPr>
        <w:t>, a abertura de contas bancárias para as pessoas singulares e colectivas observa o disposto nas Directrizes sobre Prevenção e Combate ao Branqueamento de Capitais, Financiamento do Terrorismo e Financiamento da Proliferação de Armas de Destruição em Massa.</w:t>
      </w:r>
    </w:p>
    <w:p w14:paraId="0C029404" w14:textId="77777777" w:rsidR="00BA3675" w:rsidRPr="009A10F6" w:rsidRDefault="00BA3675" w:rsidP="00BA367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577EF330" w14:textId="77777777" w:rsidR="00B0565F" w:rsidRDefault="00B0565F" w:rsidP="00B0565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CAPÍTULO II</w:t>
      </w:r>
    </w:p>
    <w:p w14:paraId="3C44562C" w14:textId="072ABEB4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PROCEDIMENTOS </w:t>
      </w:r>
      <w:r w:rsidR="0098741D">
        <w:rPr>
          <w:rFonts w:ascii="Times New Roman" w:hAnsi="Times New Roman" w:cs="Times New Roman"/>
          <w:b/>
          <w:sz w:val="26"/>
          <w:szCs w:val="26"/>
          <w:lang w:val="pt-PT"/>
        </w:rPr>
        <w:t xml:space="preserve">DE ABERTURA </w:t>
      </w: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D</w:t>
      </w:r>
      <w:r w:rsidR="0098741D">
        <w:rPr>
          <w:rFonts w:ascii="Times New Roman" w:hAnsi="Times New Roman" w:cs="Times New Roman"/>
          <w:b/>
          <w:sz w:val="26"/>
          <w:szCs w:val="26"/>
          <w:lang w:val="pt-PT"/>
        </w:rPr>
        <w:t>E</w:t>
      </w: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 CONTAS BANCÁRIAS</w:t>
      </w:r>
    </w:p>
    <w:p w14:paraId="24AAB8BE" w14:textId="77777777" w:rsidR="003F4E66" w:rsidRPr="009A10F6" w:rsidRDefault="003F4E66" w:rsidP="003F4E6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447E13EF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SECÇÃO I</w:t>
      </w:r>
    </w:p>
    <w:p w14:paraId="33CF9988" w14:textId="0DE2B4F8" w:rsidR="003F4E66" w:rsidRPr="009A10F6" w:rsidRDefault="0098741D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Contas bancárias de entidades em constituição</w:t>
      </w:r>
    </w:p>
    <w:p w14:paraId="3E41CADA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708D9BF4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Artigo </w:t>
      </w:r>
      <w:r w:rsidR="00D97FB4">
        <w:rPr>
          <w:rFonts w:ascii="Times New Roman" w:hAnsi="Times New Roman" w:cs="Times New Roman"/>
          <w:b/>
          <w:sz w:val="26"/>
          <w:szCs w:val="26"/>
          <w:lang w:val="pt-PT"/>
        </w:rPr>
        <w:t>5</w:t>
      </w:r>
    </w:p>
    <w:p w14:paraId="03A4D37C" w14:textId="6727EE3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Titularidade d</w:t>
      </w:r>
      <w:r w:rsidR="00BA3675">
        <w:rPr>
          <w:rFonts w:ascii="Times New Roman" w:hAnsi="Times New Roman" w:cs="Times New Roman"/>
          <w:b/>
          <w:sz w:val="26"/>
          <w:szCs w:val="26"/>
          <w:lang w:val="pt-PT"/>
        </w:rPr>
        <w:t>a</w:t>
      </w: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 conta</w:t>
      </w:r>
    </w:p>
    <w:p w14:paraId="12564541" w14:textId="6511EB92" w:rsidR="006D7EAD" w:rsidRPr="009A10F6" w:rsidRDefault="00762DCF" w:rsidP="006D7EAD">
      <w:pPr>
        <w:pStyle w:val="NumeroArtigo"/>
        <w:numPr>
          <w:ilvl w:val="0"/>
          <w:numId w:val="19"/>
        </w:numPr>
        <w:spacing w:before="0" w:after="0" w:line="360" w:lineRule="auto"/>
        <w:rPr>
          <w:rFonts w:cs="Times New Roman"/>
          <w:sz w:val="26"/>
          <w:szCs w:val="26"/>
        </w:rPr>
      </w:pPr>
      <w:r>
        <w:rPr>
          <w:rFonts w:eastAsia="Calibri" w:cs="Times New Roman"/>
          <w:noProof/>
          <w:sz w:val="26"/>
          <w:szCs w:val="26"/>
        </w:rPr>
        <w:t>Para efeitos do disposto no número 2 do artigo 4 da Lei</w:t>
      </w:r>
      <w:r w:rsidR="00454E3B">
        <w:rPr>
          <w:rFonts w:eastAsia="Calibri" w:cs="Times New Roman"/>
          <w:noProof/>
          <w:sz w:val="26"/>
          <w:szCs w:val="26"/>
        </w:rPr>
        <w:t xml:space="preserve"> n.º </w:t>
      </w:r>
      <w:r>
        <w:rPr>
          <w:rFonts w:eastAsia="Calibri" w:cs="Times New Roman"/>
          <w:noProof/>
          <w:sz w:val="26"/>
          <w:szCs w:val="26"/>
        </w:rPr>
        <w:t>27/2022, de 29 de Dezembro, a</w:t>
      </w:r>
      <w:r w:rsidR="006D7EAD" w:rsidRPr="009A10F6">
        <w:rPr>
          <w:rFonts w:eastAsia="Calibri" w:cs="Times New Roman"/>
          <w:noProof/>
          <w:sz w:val="26"/>
          <w:szCs w:val="26"/>
        </w:rPr>
        <w:t xml:space="preserve"> conta bancária titulada p</w:t>
      </w:r>
      <w:r>
        <w:rPr>
          <w:rFonts w:eastAsia="Calibri" w:cs="Times New Roman"/>
          <w:noProof/>
          <w:sz w:val="26"/>
          <w:szCs w:val="26"/>
        </w:rPr>
        <w:t xml:space="preserve">or </w:t>
      </w:r>
      <w:r w:rsidR="00134BEE">
        <w:rPr>
          <w:rFonts w:eastAsia="Calibri" w:cs="Times New Roman"/>
          <w:noProof/>
          <w:sz w:val="26"/>
          <w:szCs w:val="26"/>
        </w:rPr>
        <w:t xml:space="preserve">associações não reconhecidas, incluindo </w:t>
      </w:r>
      <w:r w:rsidR="006D7EAD" w:rsidRPr="009A10F6">
        <w:rPr>
          <w:rFonts w:eastAsia="Calibri" w:cs="Times New Roman"/>
          <w:noProof/>
          <w:sz w:val="26"/>
          <w:szCs w:val="26"/>
        </w:rPr>
        <w:t>grupos de poupança</w:t>
      </w:r>
      <w:r w:rsidR="00BA3675">
        <w:rPr>
          <w:rFonts w:eastAsia="Calibri" w:cs="Times New Roman"/>
          <w:noProof/>
          <w:sz w:val="26"/>
          <w:szCs w:val="26"/>
        </w:rPr>
        <w:t xml:space="preserve"> </w:t>
      </w:r>
      <w:r w:rsidR="00454E3B">
        <w:rPr>
          <w:rFonts w:eastAsia="Calibri" w:cs="Times New Roman"/>
          <w:noProof/>
          <w:sz w:val="26"/>
          <w:szCs w:val="26"/>
        </w:rPr>
        <w:t xml:space="preserve">e crédito </w:t>
      </w:r>
      <w:r w:rsidR="00BA3675">
        <w:rPr>
          <w:rFonts w:eastAsia="Calibri" w:cs="Times New Roman"/>
          <w:noProof/>
          <w:sz w:val="26"/>
          <w:szCs w:val="26"/>
        </w:rPr>
        <w:t>rotativ</w:t>
      </w:r>
      <w:r w:rsidR="00454E3B">
        <w:rPr>
          <w:rFonts w:eastAsia="Calibri" w:cs="Times New Roman"/>
          <w:noProof/>
          <w:sz w:val="26"/>
          <w:szCs w:val="26"/>
        </w:rPr>
        <w:t>o</w:t>
      </w:r>
      <w:r w:rsidR="00134BEE">
        <w:rPr>
          <w:rFonts w:eastAsia="Calibri" w:cs="Times New Roman"/>
          <w:noProof/>
          <w:sz w:val="26"/>
          <w:szCs w:val="26"/>
        </w:rPr>
        <w:t>,</w:t>
      </w:r>
      <w:r w:rsidR="006D7EAD" w:rsidRPr="009A10F6">
        <w:rPr>
          <w:rFonts w:eastAsia="Calibri" w:cs="Times New Roman"/>
          <w:noProof/>
          <w:sz w:val="26"/>
          <w:szCs w:val="26"/>
        </w:rPr>
        <w:t xml:space="preserve"> deve conte</w:t>
      </w:r>
      <w:r w:rsidR="006E1B3A">
        <w:rPr>
          <w:rFonts w:eastAsia="Calibri" w:cs="Times New Roman"/>
          <w:noProof/>
          <w:sz w:val="26"/>
          <w:szCs w:val="26"/>
        </w:rPr>
        <w:t>r</w:t>
      </w:r>
      <w:r w:rsidR="006D7EAD" w:rsidRPr="009A10F6">
        <w:rPr>
          <w:rFonts w:eastAsia="Calibri" w:cs="Times New Roman"/>
          <w:noProof/>
          <w:sz w:val="26"/>
          <w:szCs w:val="26"/>
        </w:rPr>
        <w:t xml:space="preserve"> a indicação dos</w:t>
      </w:r>
      <w:r w:rsidR="00801E3B">
        <w:rPr>
          <w:rFonts w:eastAsia="Calibri" w:cs="Times New Roman"/>
          <w:noProof/>
          <w:sz w:val="26"/>
          <w:szCs w:val="26"/>
        </w:rPr>
        <w:t xml:space="preserve"> nomes dos</w:t>
      </w:r>
      <w:r w:rsidR="006D7EAD" w:rsidRPr="009A10F6">
        <w:rPr>
          <w:rFonts w:eastAsia="Calibri" w:cs="Times New Roman"/>
          <w:noProof/>
          <w:sz w:val="26"/>
          <w:szCs w:val="26"/>
        </w:rPr>
        <w:t xml:space="preserve"> </w:t>
      </w:r>
      <w:r w:rsidR="00134BEE">
        <w:rPr>
          <w:rFonts w:eastAsia="Calibri" w:cs="Times New Roman"/>
          <w:noProof/>
          <w:sz w:val="26"/>
          <w:szCs w:val="26"/>
        </w:rPr>
        <w:t xml:space="preserve">respectivos </w:t>
      </w:r>
      <w:r w:rsidR="006D7EAD" w:rsidRPr="009A10F6">
        <w:rPr>
          <w:rFonts w:eastAsia="Calibri" w:cs="Times New Roman"/>
          <w:noProof/>
          <w:sz w:val="26"/>
          <w:szCs w:val="26"/>
        </w:rPr>
        <w:t>membros , ainda que</w:t>
      </w:r>
      <w:r w:rsidR="009953E7">
        <w:rPr>
          <w:rFonts w:eastAsia="Calibri" w:cs="Times New Roman"/>
          <w:noProof/>
          <w:sz w:val="26"/>
          <w:szCs w:val="26"/>
        </w:rPr>
        <w:t>,</w:t>
      </w:r>
      <w:r w:rsidR="006D7EAD" w:rsidRPr="009A10F6">
        <w:rPr>
          <w:rFonts w:eastAsia="Calibri" w:cs="Times New Roman"/>
          <w:noProof/>
          <w:sz w:val="26"/>
          <w:szCs w:val="26"/>
        </w:rPr>
        <w:t xml:space="preserve"> </w:t>
      </w:r>
      <w:r w:rsidR="009953E7" w:rsidRPr="009A10F6">
        <w:rPr>
          <w:rFonts w:eastAsia="Calibri" w:cs="Times New Roman"/>
          <w:noProof/>
          <w:sz w:val="26"/>
          <w:szCs w:val="26"/>
        </w:rPr>
        <w:t>no momento da abertura da conta</w:t>
      </w:r>
      <w:r w:rsidR="009953E7">
        <w:rPr>
          <w:rFonts w:eastAsia="Calibri" w:cs="Times New Roman"/>
          <w:noProof/>
          <w:sz w:val="26"/>
          <w:szCs w:val="26"/>
        </w:rPr>
        <w:t xml:space="preserve">, </w:t>
      </w:r>
      <w:r>
        <w:rPr>
          <w:rFonts w:eastAsia="Calibri" w:cs="Times New Roman"/>
          <w:noProof/>
          <w:sz w:val="26"/>
          <w:szCs w:val="26"/>
        </w:rPr>
        <w:t xml:space="preserve">os mesmos </w:t>
      </w:r>
      <w:r w:rsidR="006D7EAD" w:rsidRPr="009A10F6">
        <w:rPr>
          <w:rFonts w:eastAsia="Calibri" w:cs="Times New Roman"/>
          <w:noProof/>
          <w:sz w:val="26"/>
          <w:szCs w:val="26"/>
        </w:rPr>
        <w:t xml:space="preserve"> não seja</w:t>
      </w:r>
      <w:r>
        <w:rPr>
          <w:rFonts w:eastAsia="Calibri" w:cs="Times New Roman"/>
          <w:noProof/>
          <w:sz w:val="26"/>
          <w:szCs w:val="26"/>
        </w:rPr>
        <w:t>m</w:t>
      </w:r>
      <w:r w:rsidR="006D7EAD" w:rsidRPr="009A10F6">
        <w:rPr>
          <w:rFonts w:eastAsia="Calibri" w:cs="Times New Roman"/>
          <w:noProof/>
          <w:sz w:val="26"/>
          <w:szCs w:val="26"/>
        </w:rPr>
        <w:t xml:space="preserve"> titular</w:t>
      </w:r>
      <w:r>
        <w:rPr>
          <w:rFonts w:eastAsia="Calibri" w:cs="Times New Roman"/>
          <w:noProof/>
          <w:sz w:val="26"/>
          <w:szCs w:val="26"/>
        </w:rPr>
        <w:t>es</w:t>
      </w:r>
      <w:r w:rsidR="006D7EAD" w:rsidRPr="009A10F6">
        <w:rPr>
          <w:rFonts w:eastAsia="Calibri" w:cs="Times New Roman"/>
          <w:noProof/>
          <w:sz w:val="26"/>
          <w:szCs w:val="26"/>
        </w:rPr>
        <w:t xml:space="preserve"> de um documento de identificação legalmente </w:t>
      </w:r>
      <w:r w:rsidR="009953E7">
        <w:rPr>
          <w:rFonts w:eastAsia="Calibri" w:cs="Times New Roman"/>
          <w:noProof/>
          <w:sz w:val="26"/>
          <w:szCs w:val="26"/>
        </w:rPr>
        <w:t>válido</w:t>
      </w:r>
      <w:r w:rsidR="006D7EAD" w:rsidRPr="009A10F6">
        <w:rPr>
          <w:rFonts w:eastAsia="Calibri" w:cs="Times New Roman"/>
          <w:noProof/>
          <w:sz w:val="26"/>
          <w:szCs w:val="26"/>
        </w:rPr>
        <w:t>.</w:t>
      </w:r>
    </w:p>
    <w:p w14:paraId="0C9EC827" w14:textId="77777777" w:rsidR="009953E7" w:rsidRDefault="006D7EAD" w:rsidP="009953E7">
      <w:pPr>
        <w:pStyle w:val="NumeroArtigo"/>
        <w:numPr>
          <w:ilvl w:val="0"/>
          <w:numId w:val="19"/>
        </w:numPr>
        <w:spacing w:before="0" w:after="0" w:line="360" w:lineRule="auto"/>
        <w:rPr>
          <w:rFonts w:cs="Times New Roman"/>
          <w:sz w:val="26"/>
          <w:szCs w:val="26"/>
        </w:rPr>
      </w:pPr>
      <w:r w:rsidRPr="009A10F6">
        <w:rPr>
          <w:rFonts w:eastAsia="Calibri" w:cs="Times New Roman"/>
          <w:noProof/>
          <w:sz w:val="26"/>
          <w:szCs w:val="26"/>
        </w:rPr>
        <w:t xml:space="preserve">No caso de </w:t>
      </w:r>
      <w:r w:rsidR="0065687A">
        <w:rPr>
          <w:rFonts w:eastAsia="Calibri" w:cs="Times New Roman"/>
          <w:noProof/>
          <w:sz w:val="26"/>
          <w:szCs w:val="26"/>
        </w:rPr>
        <w:t xml:space="preserve">morte </w:t>
      </w:r>
      <w:r w:rsidRPr="009A10F6">
        <w:rPr>
          <w:rFonts w:eastAsia="Calibri" w:cs="Times New Roman"/>
          <w:noProof/>
          <w:sz w:val="26"/>
          <w:szCs w:val="26"/>
        </w:rPr>
        <w:t xml:space="preserve"> de um dos assinantes da conta bancária, pode proceder-se à sua substituição, sem necessidade de cativo de saldo, bloqueio ou encerramento da conta bancária e sem afectar os respectivos direitos, tais como, o saldo correspondente.  </w:t>
      </w:r>
    </w:p>
    <w:p w14:paraId="20993E20" w14:textId="76D20118" w:rsidR="006D7EAD" w:rsidRPr="009953E7" w:rsidRDefault="006D7EAD" w:rsidP="009953E7">
      <w:pPr>
        <w:pStyle w:val="NumeroArtigo"/>
        <w:numPr>
          <w:ilvl w:val="0"/>
          <w:numId w:val="19"/>
        </w:numPr>
        <w:spacing w:before="0" w:after="0" w:line="360" w:lineRule="auto"/>
        <w:rPr>
          <w:rFonts w:cs="Times New Roman"/>
          <w:sz w:val="26"/>
          <w:szCs w:val="26"/>
        </w:rPr>
      </w:pPr>
      <w:r w:rsidRPr="009953E7">
        <w:rPr>
          <w:rFonts w:cs="Times New Roman"/>
          <w:sz w:val="26"/>
          <w:szCs w:val="26"/>
        </w:rPr>
        <w:t xml:space="preserve">A instituição de crédito deve </w:t>
      </w:r>
      <w:r w:rsidR="00BA3675" w:rsidRPr="009953E7">
        <w:rPr>
          <w:rFonts w:cs="Times New Roman"/>
          <w:sz w:val="26"/>
          <w:szCs w:val="26"/>
        </w:rPr>
        <w:t xml:space="preserve">exigir dos assinantes da </w:t>
      </w:r>
      <w:r w:rsidR="009953E7" w:rsidRPr="009953E7">
        <w:rPr>
          <w:rFonts w:cs="Times New Roman"/>
          <w:sz w:val="26"/>
          <w:szCs w:val="26"/>
        </w:rPr>
        <w:t>conta um</w:t>
      </w:r>
      <w:r w:rsidRPr="009953E7">
        <w:rPr>
          <w:rFonts w:cs="Times New Roman"/>
          <w:sz w:val="26"/>
          <w:szCs w:val="26"/>
        </w:rPr>
        <w:t xml:space="preserve"> registo mensal </w:t>
      </w:r>
      <w:r w:rsidR="00BA3675" w:rsidRPr="009953E7">
        <w:rPr>
          <w:rFonts w:cs="Times New Roman"/>
          <w:sz w:val="26"/>
          <w:szCs w:val="26"/>
        </w:rPr>
        <w:t>d</w:t>
      </w:r>
      <w:r w:rsidRPr="009953E7">
        <w:rPr>
          <w:rFonts w:cs="Times New Roman"/>
          <w:sz w:val="26"/>
          <w:szCs w:val="26"/>
        </w:rPr>
        <w:t>o saldo correspondente a cada um dos membros do grupo</w:t>
      </w:r>
      <w:r w:rsidR="009953E7">
        <w:rPr>
          <w:rFonts w:cs="Times New Roman"/>
          <w:sz w:val="26"/>
          <w:szCs w:val="26"/>
        </w:rPr>
        <w:t>.</w:t>
      </w:r>
    </w:p>
    <w:p w14:paraId="0BF3A981" w14:textId="77777777" w:rsidR="00886E51" w:rsidRDefault="00886E51" w:rsidP="003F4E66">
      <w:pPr>
        <w:pStyle w:val="NumeroArtigo"/>
        <w:numPr>
          <w:ilvl w:val="0"/>
          <w:numId w:val="0"/>
        </w:numPr>
        <w:spacing w:before="0" w:after="0" w:line="360" w:lineRule="auto"/>
        <w:jc w:val="center"/>
        <w:rPr>
          <w:rFonts w:eastAsia="Calibri" w:cs="Times New Roman"/>
          <w:b/>
          <w:noProof/>
          <w:sz w:val="26"/>
          <w:szCs w:val="26"/>
        </w:rPr>
      </w:pPr>
    </w:p>
    <w:p w14:paraId="1C8E4321" w14:textId="3FC5379F" w:rsidR="003F4E66" w:rsidRPr="009A10F6" w:rsidRDefault="00C27AE1" w:rsidP="003F4E66">
      <w:pPr>
        <w:pStyle w:val="NumeroArtigo"/>
        <w:numPr>
          <w:ilvl w:val="0"/>
          <w:numId w:val="0"/>
        </w:numPr>
        <w:spacing w:before="0" w:after="0" w:line="360" w:lineRule="auto"/>
        <w:jc w:val="center"/>
        <w:rPr>
          <w:rFonts w:eastAsia="Calibri" w:cs="Times New Roman"/>
          <w:b/>
          <w:noProof/>
          <w:sz w:val="26"/>
          <w:szCs w:val="26"/>
        </w:rPr>
      </w:pPr>
      <w:r>
        <w:rPr>
          <w:rFonts w:eastAsia="Calibri" w:cs="Times New Roman"/>
          <w:b/>
          <w:noProof/>
          <w:sz w:val="26"/>
          <w:szCs w:val="26"/>
        </w:rPr>
        <w:t xml:space="preserve">Artigo </w:t>
      </w:r>
      <w:r w:rsidR="00134BEE">
        <w:rPr>
          <w:rFonts w:eastAsia="Calibri" w:cs="Times New Roman"/>
          <w:b/>
          <w:noProof/>
          <w:sz w:val="26"/>
          <w:szCs w:val="26"/>
        </w:rPr>
        <w:t>6</w:t>
      </w:r>
    </w:p>
    <w:p w14:paraId="18B20529" w14:textId="77777777" w:rsidR="003F4E66" w:rsidRPr="009A10F6" w:rsidRDefault="003F4E66" w:rsidP="003F4E66">
      <w:pPr>
        <w:pStyle w:val="NumeroArtigo"/>
        <w:numPr>
          <w:ilvl w:val="0"/>
          <w:numId w:val="0"/>
        </w:numPr>
        <w:spacing w:before="0" w:after="0" w:line="360" w:lineRule="auto"/>
        <w:jc w:val="center"/>
        <w:rPr>
          <w:rFonts w:eastAsia="Calibri" w:cs="Times New Roman"/>
          <w:b/>
          <w:noProof/>
          <w:sz w:val="26"/>
          <w:szCs w:val="26"/>
        </w:rPr>
      </w:pPr>
      <w:r w:rsidRPr="009A10F6">
        <w:rPr>
          <w:rFonts w:eastAsia="Calibri" w:cs="Times New Roman"/>
          <w:b/>
          <w:noProof/>
          <w:sz w:val="26"/>
          <w:szCs w:val="26"/>
        </w:rPr>
        <w:lastRenderedPageBreak/>
        <w:t>Documentos para abertura e movimentação da conta bancária de entidades em constituição</w:t>
      </w:r>
    </w:p>
    <w:p w14:paraId="007CA3E8" w14:textId="3D59B9F2" w:rsidR="003F4E66" w:rsidRPr="009A10F6" w:rsidRDefault="003F4E66" w:rsidP="003F4E66">
      <w:pPr>
        <w:pStyle w:val="NumeroArtigo"/>
        <w:numPr>
          <w:ilvl w:val="0"/>
          <w:numId w:val="0"/>
        </w:numPr>
        <w:spacing w:before="0" w:after="0" w:line="360" w:lineRule="auto"/>
        <w:rPr>
          <w:rFonts w:eastAsia="Calibri" w:cs="Times New Roman"/>
          <w:noProof/>
          <w:sz w:val="26"/>
          <w:szCs w:val="26"/>
        </w:rPr>
      </w:pPr>
      <w:r w:rsidRPr="009A10F6">
        <w:rPr>
          <w:rFonts w:eastAsia="Calibri" w:cs="Times New Roman"/>
          <w:noProof/>
          <w:sz w:val="26"/>
          <w:szCs w:val="26"/>
        </w:rPr>
        <w:t xml:space="preserve">As pessoas autorizadas a abrir e movimentar a conta bancária em nome da </w:t>
      </w:r>
      <w:r w:rsidRPr="0087474A">
        <w:rPr>
          <w:rFonts w:eastAsia="Calibri" w:cs="Times New Roman"/>
          <w:noProof/>
          <w:sz w:val="26"/>
          <w:szCs w:val="26"/>
        </w:rPr>
        <w:t xml:space="preserve">entidade </w:t>
      </w:r>
      <w:r w:rsidR="000A5737" w:rsidRPr="0087474A">
        <w:rPr>
          <w:rFonts w:eastAsia="Calibri" w:cs="Times New Roman"/>
          <w:noProof/>
          <w:sz w:val="26"/>
          <w:szCs w:val="26"/>
        </w:rPr>
        <w:t>e</w:t>
      </w:r>
      <w:r w:rsidR="000A5737">
        <w:rPr>
          <w:rFonts w:eastAsia="Calibri" w:cs="Times New Roman"/>
          <w:noProof/>
          <w:sz w:val="26"/>
          <w:szCs w:val="26"/>
        </w:rPr>
        <w:t>m constituição</w:t>
      </w:r>
      <w:r w:rsidR="00BA3675">
        <w:rPr>
          <w:rFonts w:eastAsia="Calibri" w:cs="Times New Roman"/>
          <w:noProof/>
          <w:sz w:val="26"/>
          <w:szCs w:val="26"/>
        </w:rPr>
        <w:t>,</w:t>
      </w:r>
      <w:r w:rsidRPr="009A10F6">
        <w:rPr>
          <w:rFonts w:eastAsia="Calibri" w:cs="Times New Roman"/>
          <w:noProof/>
          <w:sz w:val="26"/>
          <w:szCs w:val="26"/>
        </w:rPr>
        <w:t xml:space="preserve"> nos termos do n</w:t>
      </w:r>
      <w:r w:rsidR="00A23B6A">
        <w:rPr>
          <w:rFonts w:eastAsia="Calibri" w:cs="Times New Roman"/>
          <w:noProof/>
          <w:sz w:val="26"/>
          <w:szCs w:val="26"/>
        </w:rPr>
        <w:t>úmero</w:t>
      </w:r>
      <w:r w:rsidRPr="009A10F6">
        <w:rPr>
          <w:rFonts w:eastAsia="Calibri" w:cs="Times New Roman"/>
          <w:noProof/>
          <w:sz w:val="26"/>
          <w:szCs w:val="26"/>
        </w:rPr>
        <w:t xml:space="preserve"> 2 do artigo 4 da Lei n.º 27/2022, de 29 de Dezembro, devem apresentar</w:t>
      </w:r>
      <w:r w:rsidR="00645CD5">
        <w:rPr>
          <w:rFonts w:eastAsia="Calibri" w:cs="Times New Roman"/>
          <w:noProof/>
          <w:sz w:val="26"/>
          <w:szCs w:val="26"/>
        </w:rPr>
        <w:t>,</w:t>
      </w:r>
      <w:r w:rsidRPr="009A10F6">
        <w:rPr>
          <w:rFonts w:eastAsia="Calibri" w:cs="Times New Roman"/>
          <w:noProof/>
          <w:sz w:val="26"/>
          <w:szCs w:val="26"/>
        </w:rPr>
        <w:t xml:space="preserve"> adicionalmente</w:t>
      </w:r>
      <w:r w:rsidR="00645CD5">
        <w:rPr>
          <w:rFonts w:eastAsia="Calibri" w:cs="Times New Roman"/>
          <w:noProof/>
          <w:sz w:val="26"/>
          <w:szCs w:val="26"/>
        </w:rPr>
        <w:t>,</w:t>
      </w:r>
      <w:r w:rsidRPr="009A10F6">
        <w:rPr>
          <w:rFonts w:eastAsia="Calibri" w:cs="Times New Roman"/>
          <w:noProof/>
          <w:sz w:val="26"/>
          <w:szCs w:val="26"/>
        </w:rPr>
        <w:t xml:space="preserve"> os documentos que permitem qualificar:</w:t>
      </w:r>
    </w:p>
    <w:p w14:paraId="48A89CA0" w14:textId="77777777" w:rsidR="003F4E66" w:rsidRPr="009A10F6" w:rsidRDefault="003F4E66" w:rsidP="003F4E66">
      <w:pPr>
        <w:pStyle w:val="NumeroArtigo"/>
        <w:numPr>
          <w:ilvl w:val="0"/>
          <w:numId w:val="22"/>
        </w:numPr>
        <w:spacing w:before="0" w:after="0" w:line="360" w:lineRule="auto"/>
        <w:rPr>
          <w:rFonts w:eastAsia="Calibri" w:cs="Times New Roman"/>
          <w:noProof/>
          <w:sz w:val="26"/>
          <w:szCs w:val="26"/>
        </w:rPr>
      </w:pPr>
      <w:r w:rsidRPr="009A10F6">
        <w:rPr>
          <w:rFonts w:eastAsia="Calibri" w:cs="Times New Roman"/>
          <w:noProof/>
          <w:sz w:val="26"/>
          <w:szCs w:val="26"/>
        </w:rPr>
        <w:t>A natureza jurídica da entidade, ainda que em constituição;</w:t>
      </w:r>
    </w:p>
    <w:p w14:paraId="078D7973" w14:textId="77777777" w:rsidR="003F4E66" w:rsidRPr="009A10F6" w:rsidRDefault="003F4E66" w:rsidP="003F4E66">
      <w:pPr>
        <w:pStyle w:val="NumeroArtigo"/>
        <w:numPr>
          <w:ilvl w:val="0"/>
          <w:numId w:val="22"/>
        </w:numPr>
        <w:spacing w:before="0" w:after="0" w:line="360" w:lineRule="auto"/>
        <w:rPr>
          <w:rFonts w:eastAsia="Calibri" w:cs="Times New Roman"/>
          <w:noProof/>
          <w:sz w:val="26"/>
          <w:szCs w:val="26"/>
        </w:rPr>
      </w:pPr>
      <w:r w:rsidRPr="009A10F6">
        <w:rPr>
          <w:rFonts w:eastAsia="Calibri" w:cs="Times New Roman"/>
          <w:noProof/>
          <w:sz w:val="26"/>
          <w:szCs w:val="26"/>
        </w:rPr>
        <w:t>Poderes para abrir e movimentar a conta bancária;</w:t>
      </w:r>
    </w:p>
    <w:p w14:paraId="5978EF1E" w14:textId="5DD9FC56" w:rsidR="003F4E66" w:rsidRDefault="003F4E66" w:rsidP="003F4E66">
      <w:pPr>
        <w:pStyle w:val="NumeroArtigo"/>
        <w:numPr>
          <w:ilvl w:val="0"/>
          <w:numId w:val="22"/>
        </w:numPr>
        <w:spacing w:before="0" w:after="0" w:line="360" w:lineRule="auto"/>
        <w:rPr>
          <w:rFonts w:eastAsia="Calibri" w:cs="Times New Roman"/>
          <w:noProof/>
          <w:sz w:val="26"/>
          <w:szCs w:val="26"/>
        </w:rPr>
      </w:pPr>
      <w:r w:rsidRPr="009A10F6">
        <w:rPr>
          <w:rFonts w:eastAsia="Calibri" w:cs="Times New Roman"/>
          <w:noProof/>
          <w:sz w:val="26"/>
          <w:szCs w:val="26"/>
        </w:rPr>
        <w:t>Comprovativo de residência;</w:t>
      </w:r>
    </w:p>
    <w:p w14:paraId="0EB24710" w14:textId="546EC6CC" w:rsidR="00F27C25" w:rsidRPr="009A10F6" w:rsidRDefault="009953E7" w:rsidP="003F4E66">
      <w:pPr>
        <w:pStyle w:val="NumeroArtigo"/>
        <w:numPr>
          <w:ilvl w:val="0"/>
          <w:numId w:val="22"/>
        </w:numPr>
        <w:spacing w:before="0" w:after="0" w:line="360" w:lineRule="auto"/>
        <w:rPr>
          <w:rFonts w:eastAsia="Calibri" w:cs="Times New Roman"/>
          <w:noProof/>
          <w:sz w:val="26"/>
          <w:szCs w:val="26"/>
        </w:rPr>
      </w:pPr>
      <w:r>
        <w:rPr>
          <w:rFonts w:eastAsia="Calibri" w:cs="Times New Roman"/>
          <w:noProof/>
          <w:sz w:val="26"/>
          <w:szCs w:val="26"/>
        </w:rPr>
        <w:t>A</w:t>
      </w:r>
      <w:r w:rsidR="00F27C25">
        <w:rPr>
          <w:rFonts w:eastAsia="Calibri" w:cs="Times New Roman"/>
          <w:noProof/>
          <w:sz w:val="26"/>
          <w:szCs w:val="26"/>
        </w:rPr>
        <w:t xml:space="preserve"> ori</w:t>
      </w:r>
      <w:r w:rsidR="00895E2B">
        <w:rPr>
          <w:rFonts w:eastAsia="Calibri" w:cs="Times New Roman"/>
          <w:noProof/>
          <w:sz w:val="26"/>
          <w:szCs w:val="26"/>
        </w:rPr>
        <w:t>g</w:t>
      </w:r>
      <w:r w:rsidR="00F27C25">
        <w:rPr>
          <w:rFonts w:eastAsia="Calibri" w:cs="Times New Roman"/>
          <w:noProof/>
          <w:sz w:val="26"/>
          <w:szCs w:val="26"/>
        </w:rPr>
        <w:t>em dos fundos;</w:t>
      </w:r>
    </w:p>
    <w:p w14:paraId="0F7A3089" w14:textId="77777777" w:rsidR="003F4E66" w:rsidRPr="009A10F6" w:rsidRDefault="003F4E66" w:rsidP="003F4E66">
      <w:pPr>
        <w:pStyle w:val="NumeroArtigo"/>
        <w:numPr>
          <w:ilvl w:val="0"/>
          <w:numId w:val="22"/>
        </w:numPr>
        <w:spacing w:before="0" w:after="0" w:line="360" w:lineRule="auto"/>
        <w:rPr>
          <w:rFonts w:eastAsia="Calibri" w:cs="Times New Roman"/>
          <w:noProof/>
          <w:sz w:val="26"/>
          <w:szCs w:val="26"/>
        </w:rPr>
      </w:pPr>
      <w:r w:rsidRPr="009A10F6">
        <w:rPr>
          <w:rFonts w:eastAsia="Calibri" w:cs="Times New Roman"/>
          <w:noProof/>
          <w:sz w:val="26"/>
          <w:szCs w:val="26"/>
        </w:rPr>
        <w:t>Número Único de Identificação tributária.</w:t>
      </w:r>
    </w:p>
    <w:p w14:paraId="0CABE797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39E051FD" w14:textId="46E0CB08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Secção II</w:t>
      </w:r>
    </w:p>
    <w:p w14:paraId="6DB63159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Conta bancária para menores</w:t>
      </w:r>
    </w:p>
    <w:p w14:paraId="01900664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0D51E2E7" w14:textId="6B396143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Artigo 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7</w:t>
      </w:r>
    </w:p>
    <w:p w14:paraId="197A70B8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Abertura e movimentação de contas por menores </w:t>
      </w:r>
    </w:p>
    <w:p w14:paraId="0942F5B0" w14:textId="348082B7" w:rsidR="003F4E66" w:rsidRPr="009A10F6" w:rsidRDefault="002E2810" w:rsidP="003F4E6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3F4E66" w:rsidRPr="009A10F6">
        <w:rPr>
          <w:rFonts w:ascii="Times New Roman" w:hAnsi="Times New Roman"/>
          <w:sz w:val="26"/>
          <w:szCs w:val="26"/>
        </w:rPr>
        <w:t xml:space="preserve">s menores </w:t>
      </w:r>
      <w:r w:rsidR="0082263D">
        <w:rPr>
          <w:rFonts w:ascii="Times New Roman" w:hAnsi="Times New Roman"/>
          <w:sz w:val="26"/>
          <w:szCs w:val="26"/>
        </w:rPr>
        <w:t xml:space="preserve">referidos no número </w:t>
      </w:r>
      <w:r w:rsidR="0082263D" w:rsidRPr="009A10F6">
        <w:rPr>
          <w:rFonts w:ascii="Times New Roman" w:hAnsi="Times New Roman"/>
          <w:sz w:val="26"/>
          <w:szCs w:val="26"/>
        </w:rPr>
        <w:t xml:space="preserve">2 do artigo 14 da Lei n.º 27/2022, de 29 de </w:t>
      </w:r>
      <w:proofErr w:type="gramStart"/>
      <w:r w:rsidR="0082263D" w:rsidRPr="009A10F6">
        <w:rPr>
          <w:rFonts w:ascii="Times New Roman" w:hAnsi="Times New Roman"/>
          <w:sz w:val="26"/>
          <w:szCs w:val="26"/>
        </w:rPr>
        <w:t>Dezembro</w:t>
      </w:r>
      <w:proofErr w:type="gramEnd"/>
      <w:r w:rsidR="0082263D" w:rsidRPr="009A10F6">
        <w:rPr>
          <w:rFonts w:ascii="Times New Roman" w:hAnsi="Times New Roman"/>
          <w:sz w:val="26"/>
          <w:szCs w:val="26"/>
        </w:rPr>
        <w:t xml:space="preserve">, </w:t>
      </w:r>
      <w:r w:rsidR="003F4E66" w:rsidRPr="009A10F6">
        <w:rPr>
          <w:rFonts w:ascii="Times New Roman" w:hAnsi="Times New Roman"/>
          <w:sz w:val="26"/>
          <w:szCs w:val="26"/>
        </w:rPr>
        <w:t xml:space="preserve">que sejam estudantes universitários, devidamente comprovados, podem efectuar abertura de conta bancária sem a autorização </w:t>
      </w:r>
      <w:r w:rsidR="0082263D">
        <w:rPr>
          <w:rFonts w:ascii="Times New Roman" w:hAnsi="Times New Roman"/>
          <w:sz w:val="26"/>
          <w:szCs w:val="26"/>
        </w:rPr>
        <w:t xml:space="preserve">do representante legal. </w:t>
      </w:r>
    </w:p>
    <w:p w14:paraId="68D80A8F" w14:textId="39C2BC58" w:rsidR="003F4E66" w:rsidRPr="009A10F6" w:rsidRDefault="003F4E66" w:rsidP="003F4E6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Sem prejuízo do</w:t>
      </w:r>
      <w:r w:rsidR="0082263D">
        <w:rPr>
          <w:rFonts w:ascii="Times New Roman" w:hAnsi="Times New Roman"/>
          <w:sz w:val="26"/>
          <w:szCs w:val="26"/>
        </w:rPr>
        <w:t xml:space="preserve"> disposto no</w:t>
      </w:r>
      <w:r w:rsidRPr="009A10F6">
        <w:rPr>
          <w:rFonts w:ascii="Times New Roman" w:hAnsi="Times New Roman"/>
          <w:sz w:val="26"/>
          <w:szCs w:val="26"/>
        </w:rPr>
        <w:t xml:space="preserve"> número anterior, a autorização </w:t>
      </w:r>
      <w:r w:rsidR="0082263D">
        <w:rPr>
          <w:rFonts w:ascii="Times New Roman" w:hAnsi="Times New Roman"/>
          <w:sz w:val="26"/>
          <w:szCs w:val="26"/>
        </w:rPr>
        <w:t>do representante legal</w:t>
      </w:r>
      <w:r w:rsidRPr="009A10F6">
        <w:rPr>
          <w:rFonts w:ascii="Times New Roman" w:hAnsi="Times New Roman"/>
          <w:sz w:val="26"/>
          <w:szCs w:val="26"/>
        </w:rPr>
        <w:t xml:space="preserve"> deve ser apresentada no prazo </w:t>
      </w:r>
      <w:r w:rsidR="009B30F8" w:rsidRPr="009A10F6">
        <w:rPr>
          <w:rFonts w:ascii="Times New Roman" w:hAnsi="Times New Roman"/>
          <w:sz w:val="26"/>
          <w:szCs w:val="26"/>
        </w:rPr>
        <w:t xml:space="preserve">de </w:t>
      </w:r>
      <w:r w:rsidR="009B30F8">
        <w:rPr>
          <w:rFonts w:ascii="Times New Roman" w:hAnsi="Times New Roman"/>
          <w:sz w:val="26"/>
          <w:szCs w:val="26"/>
        </w:rPr>
        <w:t>seis</w:t>
      </w:r>
      <w:r w:rsidR="0082263D">
        <w:rPr>
          <w:rFonts w:ascii="Times New Roman" w:hAnsi="Times New Roman"/>
          <w:sz w:val="26"/>
          <w:szCs w:val="26"/>
        </w:rPr>
        <w:t xml:space="preserve"> meses</w:t>
      </w:r>
      <w:r w:rsidRPr="009A10F6">
        <w:rPr>
          <w:rFonts w:ascii="Times New Roman" w:hAnsi="Times New Roman"/>
          <w:sz w:val="26"/>
          <w:szCs w:val="26"/>
        </w:rPr>
        <w:t>, a contar da data da celebração do contrato de abertura de conta bancária.</w:t>
      </w:r>
    </w:p>
    <w:p w14:paraId="4319F930" w14:textId="54BE118A" w:rsidR="003F4E66" w:rsidRPr="004E7767" w:rsidRDefault="003F4E66" w:rsidP="003F4E6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 xml:space="preserve">A abertura de conta bancária para os menores referidos no presente artigo segue a disciplina do </w:t>
      </w:r>
      <w:r w:rsidRPr="004E7767">
        <w:rPr>
          <w:rFonts w:ascii="Times New Roman" w:hAnsi="Times New Roman"/>
          <w:sz w:val="26"/>
          <w:szCs w:val="26"/>
        </w:rPr>
        <w:t>artigo 1</w:t>
      </w:r>
      <w:r w:rsidR="002C7126">
        <w:rPr>
          <w:rFonts w:ascii="Times New Roman" w:hAnsi="Times New Roman"/>
          <w:sz w:val="26"/>
          <w:szCs w:val="26"/>
        </w:rPr>
        <w:t>0</w:t>
      </w:r>
      <w:r w:rsidRPr="004E7767">
        <w:rPr>
          <w:rFonts w:ascii="Times New Roman" w:hAnsi="Times New Roman"/>
          <w:sz w:val="26"/>
          <w:szCs w:val="26"/>
        </w:rPr>
        <w:t xml:space="preserve">. </w:t>
      </w:r>
    </w:p>
    <w:p w14:paraId="4DBCE641" w14:textId="77777777" w:rsidR="00895E2B" w:rsidRDefault="00895E2B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56797184" w14:textId="35608416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Artigo 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8</w:t>
      </w:r>
    </w:p>
    <w:p w14:paraId="0C04AEF2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Operações permitidas para os menores</w:t>
      </w:r>
    </w:p>
    <w:p w14:paraId="2AB83329" w14:textId="53086C06" w:rsidR="003F4E66" w:rsidRPr="009A10F6" w:rsidRDefault="003F4E66" w:rsidP="003F4E6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Os menores de 18 anos, mas com idade igual ou superior a 15 anos</w:t>
      </w:r>
      <w:r w:rsidR="0082263D">
        <w:rPr>
          <w:rFonts w:ascii="Times New Roman" w:hAnsi="Times New Roman"/>
          <w:sz w:val="26"/>
          <w:szCs w:val="26"/>
        </w:rPr>
        <w:t>,</w:t>
      </w:r>
      <w:r w:rsidRPr="009A10F6">
        <w:rPr>
          <w:rFonts w:ascii="Times New Roman" w:hAnsi="Times New Roman"/>
          <w:sz w:val="26"/>
          <w:szCs w:val="26"/>
        </w:rPr>
        <w:t xml:space="preserve"> podem realizar, somente, as seguintes operações:</w:t>
      </w:r>
    </w:p>
    <w:p w14:paraId="778F7D0A" w14:textId="77777777" w:rsidR="003F4E66" w:rsidRPr="009A10F6" w:rsidRDefault="003F4E66" w:rsidP="003F4E6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Depósito e levantamento de numerário;</w:t>
      </w:r>
    </w:p>
    <w:p w14:paraId="56BCDDF8" w14:textId="2F53A080" w:rsidR="003F4E66" w:rsidRPr="009A10F6" w:rsidRDefault="003F4E66" w:rsidP="003F4E6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lastRenderedPageBreak/>
        <w:t xml:space="preserve">Transferências </w:t>
      </w:r>
      <w:proofErr w:type="spellStart"/>
      <w:r w:rsidRPr="009A10F6">
        <w:rPr>
          <w:rFonts w:ascii="Times New Roman" w:hAnsi="Times New Roman"/>
          <w:sz w:val="26"/>
          <w:szCs w:val="26"/>
        </w:rPr>
        <w:t>intra</w:t>
      </w:r>
      <w:proofErr w:type="spellEnd"/>
      <w:r w:rsidRPr="009A10F6">
        <w:rPr>
          <w:rFonts w:ascii="Times New Roman" w:hAnsi="Times New Roman"/>
          <w:sz w:val="26"/>
          <w:szCs w:val="26"/>
        </w:rPr>
        <w:t xml:space="preserve"> e interbancárias até ao limite do saldo fixado para a conta básica ou simplificada;</w:t>
      </w:r>
    </w:p>
    <w:p w14:paraId="269C5E51" w14:textId="032D16AC" w:rsidR="003F4E66" w:rsidRPr="009A10F6" w:rsidRDefault="00190157" w:rsidP="003F4E6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Transferências para a</w:t>
      </w:r>
      <w:r w:rsidR="003F4E66" w:rsidRPr="009A10F6">
        <w:rPr>
          <w:rFonts w:ascii="Times New Roman" w:hAnsi="Times New Roman"/>
          <w:sz w:val="26"/>
          <w:szCs w:val="26"/>
        </w:rPr>
        <w:t xml:space="preserve"> </w:t>
      </w:r>
      <w:r w:rsidR="00645CD5">
        <w:rPr>
          <w:rFonts w:ascii="Times New Roman" w:hAnsi="Times New Roman"/>
          <w:sz w:val="26"/>
          <w:szCs w:val="26"/>
        </w:rPr>
        <w:t>conta móvel ou</w:t>
      </w:r>
      <w:r w:rsidR="003F4E66" w:rsidRPr="009A10F6">
        <w:rPr>
          <w:rFonts w:ascii="Times New Roman" w:hAnsi="Times New Roman"/>
          <w:sz w:val="26"/>
          <w:szCs w:val="26"/>
        </w:rPr>
        <w:t xml:space="preserve"> electrónica até ao limite do saldo fixado para a conta básica ou simplificada.</w:t>
      </w:r>
    </w:p>
    <w:p w14:paraId="57DB207E" w14:textId="77777777" w:rsidR="003F4E66" w:rsidRPr="009A10F6" w:rsidRDefault="003F4E66" w:rsidP="003F4E6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Os menores abrangidos pelo presente artigo não podem:</w:t>
      </w:r>
    </w:p>
    <w:p w14:paraId="0C7A5E2A" w14:textId="77777777" w:rsidR="003F4E66" w:rsidRPr="009A10F6" w:rsidRDefault="003F4E66" w:rsidP="003F4E6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Ter acesso ao crédito;</w:t>
      </w:r>
    </w:p>
    <w:p w14:paraId="4D7B234F" w14:textId="77777777" w:rsidR="003F4E66" w:rsidRPr="009A10F6" w:rsidRDefault="003F4E66" w:rsidP="003F4E6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 xml:space="preserve">Ser titulares de cheques ou títulos de crédito; e </w:t>
      </w:r>
    </w:p>
    <w:p w14:paraId="0806746E" w14:textId="77777777" w:rsidR="003F4E66" w:rsidRPr="009A10F6" w:rsidRDefault="003F4E66" w:rsidP="003F4E6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 xml:space="preserve">Usar quaisquer outros instrumentos de pagamento, </w:t>
      </w:r>
      <w:proofErr w:type="spellStart"/>
      <w:r w:rsidRPr="009A10F6">
        <w:rPr>
          <w:rFonts w:ascii="Times New Roman" w:hAnsi="Times New Roman"/>
          <w:sz w:val="26"/>
          <w:szCs w:val="26"/>
        </w:rPr>
        <w:t>excepto</w:t>
      </w:r>
      <w:proofErr w:type="spellEnd"/>
      <w:r w:rsidRPr="009A10F6">
        <w:rPr>
          <w:rFonts w:ascii="Times New Roman" w:hAnsi="Times New Roman"/>
          <w:sz w:val="26"/>
          <w:szCs w:val="26"/>
        </w:rPr>
        <w:t xml:space="preserve"> o cartão de débito e pré-pago.</w:t>
      </w:r>
    </w:p>
    <w:p w14:paraId="7AAD548F" w14:textId="7D5105A9" w:rsidR="003F4E66" w:rsidRPr="009A10F6" w:rsidRDefault="003F4E66" w:rsidP="003F4E6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 xml:space="preserve">O disposto nos números anteriores aplica-se, também, </w:t>
      </w:r>
      <w:r w:rsidR="00645CD5">
        <w:rPr>
          <w:rFonts w:ascii="Times New Roman" w:hAnsi="Times New Roman"/>
          <w:sz w:val="26"/>
          <w:szCs w:val="26"/>
        </w:rPr>
        <w:t>a</w:t>
      </w:r>
      <w:r w:rsidRPr="009A10F6">
        <w:rPr>
          <w:rFonts w:ascii="Times New Roman" w:hAnsi="Times New Roman"/>
          <w:sz w:val="26"/>
          <w:szCs w:val="26"/>
        </w:rPr>
        <w:t>os menores de 15 anos que actuam por intermédio do representante legal.</w:t>
      </w:r>
    </w:p>
    <w:p w14:paraId="6691DF6B" w14:textId="77777777" w:rsidR="003F4E66" w:rsidRPr="009A10F6" w:rsidRDefault="003F4E66" w:rsidP="003F4E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0534F440" w14:textId="655A5140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  <w:t>Secção I</w:t>
      </w:r>
      <w:r w:rsidR="0082263D"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  <w:t>II</w:t>
      </w:r>
    </w:p>
    <w:p w14:paraId="5B8AEFB3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Conta bancária básica ou simplificada</w:t>
      </w:r>
    </w:p>
    <w:p w14:paraId="7C1A858F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14:paraId="2082AF7E" w14:textId="52B808BF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Artigo 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9</w:t>
      </w:r>
    </w:p>
    <w:p w14:paraId="50934805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Obrigatoriedade da disponibilidade de conta bancária básica ou simplificada</w:t>
      </w:r>
    </w:p>
    <w:p w14:paraId="3D3EBA17" w14:textId="26C108CF" w:rsidR="003F4E66" w:rsidRPr="009A10F6" w:rsidRDefault="003F4E66" w:rsidP="003F4E6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pt-PT"/>
        </w:rPr>
      </w:pPr>
      <w:r w:rsidRPr="009A10F6">
        <w:rPr>
          <w:rFonts w:ascii="Times New Roman" w:hAnsi="Times New Roman"/>
          <w:sz w:val="26"/>
          <w:szCs w:val="26"/>
          <w:lang w:val="pt-PT"/>
        </w:rPr>
        <w:t xml:space="preserve">Sem prejuízo do disposto no artigo 22 da Lei n.º 27/2022, de 29 de </w:t>
      </w:r>
      <w:proofErr w:type="gramStart"/>
      <w:r w:rsidRPr="009A10F6">
        <w:rPr>
          <w:rFonts w:ascii="Times New Roman" w:hAnsi="Times New Roman"/>
          <w:sz w:val="26"/>
          <w:szCs w:val="26"/>
          <w:lang w:val="pt-PT"/>
        </w:rPr>
        <w:t>Dezembro</w:t>
      </w:r>
      <w:proofErr w:type="gramEnd"/>
      <w:r w:rsidRPr="009A10F6">
        <w:rPr>
          <w:rFonts w:ascii="Times New Roman" w:hAnsi="Times New Roman"/>
          <w:sz w:val="26"/>
          <w:szCs w:val="26"/>
          <w:lang w:val="pt-PT"/>
        </w:rPr>
        <w:t xml:space="preserve">, não são obrigadas a disponibilizar a conta bancária básica ou simplificada, as instituições de crédito que não </w:t>
      </w:r>
      <w:r w:rsidR="00645CD5">
        <w:rPr>
          <w:rFonts w:ascii="Times New Roman" w:hAnsi="Times New Roman"/>
          <w:sz w:val="26"/>
          <w:szCs w:val="26"/>
          <w:lang w:val="pt-PT"/>
        </w:rPr>
        <w:t>possuem</w:t>
      </w:r>
      <w:r w:rsidRPr="009A10F6">
        <w:rPr>
          <w:rFonts w:ascii="Times New Roman" w:hAnsi="Times New Roman"/>
          <w:sz w:val="26"/>
          <w:szCs w:val="26"/>
          <w:lang w:val="pt-PT"/>
        </w:rPr>
        <w:t xml:space="preserve"> o serviço de captação de depósitos em numerário.</w:t>
      </w:r>
    </w:p>
    <w:p w14:paraId="0C060897" w14:textId="77777777" w:rsidR="0023710B" w:rsidRDefault="0023710B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3188A5D0" w14:textId="77777777" w:rsidR="00886E51" w:rsidRDefault="00886E5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41AB1460" w14:textId="77777777" w:rsidR="00886E51" w:rsidRDefault="00886E5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485B95B1" w14:textId="77777777" w:rsidR="00886E51" w:rsidRDefault="00886E5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5E8437FC" w14:textId="593B05D5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Artigo 1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0</w:t>
      </w:r>
    </w:p>
    <w:p w14:paraId="1164A20E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Documento para abertura de conta bancária básica ou simplificada </w:t>
      </w:r>
    </w:p>
    <w:p w14:paraId="5CA9AEF4" w14:textId="77777777" w:rsidR="003F4E66" w:rsidRPr="009A10F6" w:rsidRDefault="003F4E66" w:rsidP="003F4E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 xml:space="preserve">A conta bancária básica ou simplificada </w:t>
      </w:r>
      <w:r w:rsidR="000C6D80">
        <w:rPr>
          <w:rFonts w:ascii="Times New Roman" w:hAnsi="Times New Roman"/>
          <w:sz w:val="26"/>
          <w:szCs w:val="26"/>
        </w:rPr>
        <w:t>deve</w:t>
      </w:r>
      <w:r w:rsidRPr="009A10F6">
        <w:rPr>
          <w:rFonts w:ascii="Times New Roman" w:hAnsi="Times New Roman"/>
          <w:sz w:val="26"/>
          <w:szCs w:val="26"/>
        </w:rPr>
        <w:t xml:space="preserve"> ser aberta com um documento de identificação ou, na sua falta, mediante abonação de duas testemunhas.</w:t>
      </w:r>
    </w:p>
    <w:p w14:paraId="74A9A57F" w14:textId="77777777" w:rsidR="003F4E66" w:rsidRPr="009A10F6" w:rsidRDefault="00E3700E" w:rsidP="003F4E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documento previsto no número anterior deve permitir a obtenção da seguinte</w:t>
      </w:r>
      <w:r w:rsidR="003F4E66" w:rsidRPr="009A10F6">
        <w:rPr>
          <w:rFonts w:ascii="Times New Roman" w:hAnsi="Times New Roman"/>
          <w:sz w:val="26"/>
          <w:szCs w:val="26"/>
        </w:rPr>
        <w:t xml:space="preserve"> informação:</w:t>
      </w:r>
    </w:p>
    <w:p w14:paraId="2B3EF7B1" w14:textId="77777777" w:rsidR="003F4E66" w:rsidRPr="009A10F6" w:rsidRDefault="003F4E66" w:rsidP="003F4E66">
      <w:pPr>
        <w:pStyle w:val="ListParagraph"/>
        <w:numPr>
          <w:ilvl w:val="1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Nome completo;</w:t>
      </w:r>
    </w:p>
    <w:p w14:paraId="29B11333" w14:textId="77777777" w:rsidR="003F4E66" w:rsidRPr="009A10F6" w:rsidRDefault="003F4E66" w:rsidP="003F4E66">
      <w:pPr>
        <w:pStyle w:val="ListParagraph"/>
        <w:numPr>
          <w:ilvl w:val="1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lastRenderedPageBreak/>
        <w:t>Data de nascimento;</w:t>
      </w:r>
    </w:p>
    <w:p w14:paraId="093A5376" w14:textId="77777777" w:rsidR="003F4E66" w:rsidRDefault="003F4E66" w:rsidP="003F4E66">
      <w:pPr>
        <w:pStyle w:val="ListParagraph"/>
        <w:numPr>
          <w:ilvl w:val="1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Sexo;</w:t>
      </w:r>
    </w:p>
    <w:p w14:paraId="1DA097BB" w14:textId="77777777" w:rsidR="00E3700E" w:rsidRPr="009A10F6" w:rsidRDefault="00E3700E" w:rsidP="00E3700E">
      <w:pPr>
        <w:pStyle w:val="ListParagraph"/>
        <w:numPr>
          <w:ilvl w:val="1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Tipo, número, local, data de emissão e data de validade do documento de identificação;</w:t>
      </w:r>
    </w:p>
    <w:p w14:paraId="34E9ADD0" w14:textId="2AD11106" w:rsidR="00E3700E" w:rsidRDefault="00E3700E" w:rsidP="003F4E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Adicionalmente ao documento previsto no número 1, a instituição de crédito deve solicitar apenas </w:t>
      </w:r>
      <w:r w:rsidR="00645CD5">
        <w:rPr>
          <w:rFonts w:ascii="Times New Roman" w:hAnsi="Times New Roman"/>
          <w:sz w:val="26"/>
          <w:szCs w:val="26"/>
        </w:rPr>
        <w:t xml:space="preserve">a informação que permite identificar </w:t>
      </w:r>
      <w:r>
        <w:rPr>
          <w:rFonts w:ascii="Times New Roman" w:hAnsi="Times New Roman"/>
          <w:sz w:val="26"/>
          <w:szCs w:val="26"/>
        </w:rPr>
        <w:t>o seguinte:</w:t>
      </w:r>
    </w:p>
    <w:p w14:paraId="03BDC5FB" w14:textId="77777777" w:rsidR="00E3700E" w:rsidRPr="009A10F6" w:rsidRDefault="00E3700E" w:rsidP="00E3700E">
      <w:pPr>
        <w:pStyle w:val="ListParagraph"/>
        <w:numPr>
          <w:ilvl w:val="1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 xml:space="preserve">Endereço da residência; </w:t>
      </w:r>
    </w:p>
    <w:p w14:paraId="2260D141" w14:textId="77777777" w:rsidR="00E3700E" w:rsidRPr="009A10F6" w:rsidRDefault="00E3700E" w:rsidP="00E3700E">
      <w:pPr>
        <w:pStyle w:val="ListParagraph"/>
        <w:numPr>
          <w:ilvl w:val="1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Número de telemóvel;</w:t>
      </w:r>
    </w:p>
    <w:p w14:paraId="2E59E983" w14:textId="77777777" w:rsidR="00E3700E" w:rsidRPr="009A10F6" w:rsidRDefault="00E3700E" w:rsidP="00E3700E">
      <w:pPr>
        <w:pStyle w:val="ListParagraph"/>
        <w:numPr>
          <w:ilvl w:val="1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Número Único de Identificação Tributária (NUIT).</w:t>
      </w:r>
    </w:p>
    <w:p w14:paraId="4A600FA5" w14:textId="03CDC45C" w:rsidR="003F4E66" w:rsidRDefault="003F4E66" w:rsidP="003F4E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 xml:space="preserve">Sem prejuízo do número anterior, a instituição de crédito </w:t>
      </w:r>
      <w:r w:rsidR="00553C6D">
        <w:rPr>
          <w:rFonts w:ascii="Times New Roman" w:hAnsi="Times New Roman"/>
          <w:sz w:val="26"/>
          <w:szCs w:val="26"/>
        </w:rPr>
        <w:t xml:space="preserve">deve </w:t>
      </w:r>
      <w:r w:rsidRPr="009A10F6">
        <w:rPr>
          <w:rFonts w:ascii="Times New Roman" w:hAnsi="Times New Roman"/>
          <w:sz w:val="26"/>
          <w:szCs w:val="26"/>
        </w:rPr>
        <w:t>solicitar informações adicionais, sempre que o perfil de risco do cliente titular da conta básica ou simplificada for médio ou alto.</w:t>
      </w:r>
    </w:p>
    <w:p w14:paraId="07F2A0DE" w14:textId="6077DCF4" w:rsidR="00645CD5" w:rsidRDefault="00E810F6" w:rsidP="003F4E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</w:t>
      </w:r>
      <w:r w:rsidR="00645CD5">
        <w:rPr>
          <w:rFonts w:ascii="Times New Roman" w:hAnsi="Times New Roman"/>
          <w:sz w:val="26"/>
          <w:szCs w:val="26"/>
        </w:rPr>
        <w:t xml:space="preserve">instituição de crédito </w:t>
      </w:r>
      <w:r>
        <w:rPr>
          <w:rFonts w:ascii="Times New Roman" w:hAnsi="Times New Roman"/>
          <w:sz w:val="26"/>
          <w:szCs w:val="26"/>
        </w:rPr>
        <w:t xml:space="preserve">deve </w:t>
      </w:r>
      <w:r w:rsidR="00645CD5">
        <w:rPr>
          <w:rFonts w:ascii="Times New Roman" w:hAnsi="Times New Roman"/>
          <w:sz w:val="26"/>
          <w:szCs w:val="26"/>
        </w:rPr>
        <w:t>verificar ou solicitar ao Banco de Moçambique, o Número Único de Identificação Bancária (NUIB)</w:t>
      </w:r>
      <w:r>
        <w:rPr>
          <w:rFonts w:ascii="Times New Roman" w:hAnsi="Times New Roman"/>
          <w:sz w:val="26"/>
          <w:szCs w:val="26"/>
        </w:rPr>
        <w:t xml:space="preserve"> do cliente, com base nos documentos referidos nos números anteriores</w:t>
      </w:r>
      <w:r w:rsidR="00645CD5">
        <w:rPr>
          <w:rFonts w:ascii="Times New Roman" w:hAnsi="Times New Roman"/>
          <w:sz w:val="26"/>
          <w:szCs w:val="26"/>
        </w:rPr>
        <w:t>.</w:t>
      </w:r>
    </w:p>
    <w:p w14:paraId="4121AC9E" w14:textId="055AE442" w:rsidR="00E45D49" w:rsidRPr="00D95BCA" w:rsidRDefault="00645CD5" w:rsidP="003F4E66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95BCA">
        <w:rPr>
          <w:rFonts w:ascii="Times New Roman" w:hAnsi="Times New Roman"/>
          <w:sz w:val="26"/>
          <w:szCs w:val="26"/>
        </w:rPr>
        <w:t>No caso de abonação das testemunhas, a</w:t>
      </w:r>
      <w:r w:rsidR="00E45D49" w:rsidRPr="00D95BCA">
        <w:rPr>
          <w:rFonts w:ascii="Times New Roman" w:hAnsi="Times New Roman"/>
          <w:sz w:val="26"/>
          <w:szCs w:val="26"/>
        </w:rPr>
        <w:t xml:space="preserve">s instituições de crédito devem, para além do documento de identificação e outra informação necessária nos termos da legislação atinente </w:t>
      </w:r>
      <w:r w:rsidR="002F4865" w:rsidRPr="00D95BCA">
        <w:rPr>
          <w:rFonts w:ascii="Times New Roman" w:hAnsi="Times New Roman"/>
          <w:sz w:val="26"/>
          <w:szCs w:val="26"/>
        </w:rPr>
        <w:t xml:space="preserve">à prevenção e </w:t>
      </w:r>
      <w:r w:rsidR="00E45D49" w:rsidRPr="00D95BCA">
        <w:rPr>
          <w:rFonts w:ascii="Times New Roman" w:hAnsi="Times New Roman"/>
          <w:sz w:val="26"/>
          <w:szCs w:val="26"/>
        </w:rPr>
        <w:t xml:space="preserve">combate de branqueamento de capitais e financiamento ao terrorismo, solicitar o </w:t>
      </w:r>
      <w:r w:rsidRPr="00D95BCA">
        <w:rPr>
          <w:rFonts w:ascii="Times New Roman" w:hAnsi="Times New Roman"/>
          <w:sz w:val="26"/>
          <w:szCs w:val="26"/>
        </w:rPr>
        <w:t xml:space="preserve">respectivo </w:t>
      </w:r>
      <w:r w:rsidR="00E45D49" w:rsidRPr="00D95BCA">
        <w:rPr>
          <w:rFonts w:ascii="Times New Roman" w:hAnsi="Times New Roman"/>
          <w:sz w:val="26"/>
          <w:szCs w:val="26"/>
        </w:rPr>
        <w:t>contacto telefónico e a declaração de residência.</w:t>
      </w:r>
    </w:p>
    <w:p w14:paraId="62450A9A" w14:textId="6DF05170" w:rsidR="003F4E6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78D76E43" w14:textId="77777777" w:rsidR="00886E51" w:rsidRDefault="00886E5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6BC1F0C3" w14:textId="77777777" w:rsidR="00886E51" w:rsidRDefault="00886E5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0DB491BC" w14:textId="311E2017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Artigo 1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1</w:t>
      </w:r>
    </w:p>
    <w:p w14:paraId="6347A054" w14:textId="36EBC86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Movimentação da conta bancária </w:t>
      </w:r>
    </w:p>
    <w:p w14:paraId="4DDE97D9" w14:textId="00D0F936" w:rsidR="003F4E66" w:rsidRPr="00886E51" w:rsidRDefault="003F4E66" w:rsidP="00E3700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pt-PT"/>
        </w:rPr>
      </w:pPr>
      <w:r w:rsidRPr="00886E51">
        <w:rPr>
          <w:rFonts w:ascii="Times New Roman" w:hAnsi="Times New Roman"/>
          <w:sz w:val="26"/>
          <w:szCs w:val="26"/>
          <w:lang w:val="pt-PT"/>
        </w:rPr>
        <w:t xml:space="preserve">No caso de conta bancária básica ou simplificada aberta por intermédio de testemunhas, o cliente deve apresentar os documentos </w:t>
      </w:r>
      <w:r w:rsidR="009B30F8" w:rsidRPr="00886E51">
        <w:rPr>
          <w:rFonts w:ascii="Times New Roman" w:hAnsi="Times New Roman"/>
          <w:sz w:val="26"/>
          <w:szCs w:val="26"/>
          <w:lang w:val="pt-PT"/>
        </w:rPr>
        <w:t>estipulados</w:t>
      </w:r>
      <w:r w:rsidRPr="00886E51">
        <w:rPr>
          <w:rFonts w:ascii="Times New Roman" w:hAnsi="Times New Roman"/>
          <w:sz w:val="26"/>
          <w:szCs w:val="26"/>
          <w:lang w:val="pt-PT"/>
        </w:rPr>
        <w:t xml:space="preserve"> dentro de seis meses, salvo para os que apresentem atestado de pobreza, que podem ser isentos de apresentação de documentos que impliquem um custo adicional.</w:t>
      </w:r>
    </w:p>
    <w:p w14:paraId="588D7063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451D79BB" w14:textId="6BF5397F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Artigo 1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2</w:t>
      </w:r>
    </w:p>
    <w:p w14:paraId="16D3C6C4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Remuneração da conta básica ou simplificada</w:t>
      </w:r>
    </w:p>
    <w:p w14:paraId="557CF9C9" w14:textId="71A38836" w:rsidR="003F4E66" w:rsidRPr="00886E51" w:rsidRDefault="003F4E66" w:rsidP="003F4E6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6E51">
        <w:rPr>
          <w:rFonts w:ascii="Times New Roman" w:hAnsi="Times New Roman"/>
          <w:sz w:val="26"/>
          <w:szCs w:val="26"/>
        </w:rPr>
        <w:lastRenderedPageBreak/>
        <w:t>Para efeitos do n</w:t>
      </w:r>
      <w:r w:rsidR="00A23B6A" w:rsidRPr="00886E51">
        <w:rPr>
          <w:rFonts w:ascii="Times New Roman" w:hAnsi="Times New Roman"/>
          <w:sz w:val="26"/>
          <w:szCs w:val="26"/>
        </w:rPr>
        <w:t>úmero</w:t>
      </w:r>
      <w:r w:rsidRPr="00886E51">
        <w:rPr>
          <w:rFonts w:ascii="Times New Roman" w:hAnsi="Times New Roman"/>
          <w:sz w:val="26"/>
          <w:szCs w:val="26"/>
        </w:rPr>
        <w:t xml:space="preserve"> 2 do artigo 21 da Lei n.º 27/2022, de 29 de </w:t>
      </w:r>
      <w:proofErr w:type="gramStart"/>
      <w:r w:rsidRPr="00886E51">
        <w:rPr>
          <w:rFonts w:ascii="Times New Roman" w:hAnsi="Times New Roman"/>
          <w:sz w:val="26"/>
          <w:szCs w:val="26"/>
        </w:rPr>
        <w:t>Dezembro</w:t>
      </w:r>
      <w:proofErr w:type="gramEnd"/>
      <w:r w:rsidRPr="00886E51">
        <w:rPr>
          <w:rFonts w:ascii="Times New Roman" w:hAnsi="Times New Roman"/>
          <w:sz w:val="26"/>
          <w:szCs w:val="26"/>
        </w:rPr>
        <w:t xml:space="preserve">, </w:t>
      </w:r>
      <w:r w:rsidR="00766EB8" w:rsidRPr="00886E51">
        <w:rPr>
          <w:rFonts w:ascii="Times New Roman" w:hAnsi="Times New Roman"/>
          <w:sz w:val="26"/>
          <w:szCs w:val="26"/>
        </w:rPr>
        <w:t>as instituições de crédito devem remunerar a componente de poupança na</w:t>
      </w:r>
      <w:r w:rsidR="00E810F6" w:rsidRPr="00886E51">
        <w:rPr>
          <w:rFonts w:ascii="Times New Roman" w:hAnsi="Times New Roman"/>
          <w:sz w:val="26"/>
          <w:szCs w:val="26"/>
        </w:rPr>
        <w:t xml:space="preserve"> conta bancária básica ou simplificada</w:t>
      </w:r>
      <w:r w:rsidR="006D29E7" w:rsidRPr="00886E51">
        <w:rPr>
          <w:rFonts w:ascii="Times New Roman" w:hAnsi="Times New Roman"/>
          <w:sz w:val="26"/>
          <w:szCs w:val="26"/>
        </w:rPr>
        <w:t>, nos termos acordados com o cliente</w:t>
      </w:r>
      <w:r w:rsidR="00AC0F10">
        <w:rPr>
          <w:rFonts w:ascii="Times New Roman" w:hAnsi="Times New Roman"/>
          <w:sz w:val="26"/>
          <w:szCs w:val="26"/>
        </w:rPr>
        <w:t>,</w:t>
      </w:r>
      <w:bookmarkStart w:id="13" w:name="_GoBack"/>
      <w:bookmarkEnd w:id="13"/>
      <w:r w:rsidR="006D29E7" w:rsidRPr="00886E51">
        <w:rPr>
          <w:rFonts w:ascii="Times New Roman" w:hAnsi="Times New Roman"/>
          <w:sz w:val="26"/>
          <w:szCs w:val="26"/>
        </w:rPr>
        <w:t xml:space="preserve"> e em condições não menos favoráveis que o previsto para valores similares n</w:t>
      </w:r>
      <w:r w:rsidR="00E810F6" w:rsidRPr="00886E51">
        <w:rPr>
          <w:rFonts w:ascii="Times New Roman" w:hAnsi="Times New Roman"/>
          <w:sz w:val="26"/>
          <w:szCs w:val="26"/>
        </w:rPr>
        <w:t xml:space="preserve">a generalidade de contas tituladas na instituição.  </w:t>
      </w:r>
    </w:p>
    <w:p w14:paraId="368770C8" w14:textId="77777777" w:rsidR="003F4E66" w:rsidRPr="009A10F6" w:rsidRDefault="003F4E66" w:rsidP="003F4E6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 xml:space="preserve">O saldo que excede o montante fixado nos termos do número 3 do artigo 21 da Lei n.º 27/2022, de 29 de Dezembro, </w:t>
      </w:r>
      <w:r w:rsidR="00E3700E">
        <w:rPr>
          <w:rFonts w:ascii="Times New Roman" w:hAnsi="Times New Roman"/>
          <w:sz w:val="26"/>
          <w:szCs w:val="26"/>
        </w:rPr>
        <w:t>p</w:t>
      </w:r>
      <w:r w:rsidR="00E3700E" w:rsidRPr="009A10F6">
        <w:rPr>
          <w:rFonts w:ascii="Times New Roman" w:hAnsi="Times New Roman"/>
          <w:sz w:val="26"/>
          <w:szCs w:val="26"/>
        </w:rPr>
        <w:t>ode ser mantido sem necessidade de con</w:t>
      </w:r>
      <w:r w:rsidR="00E3700E">
        <w:rPr>
          <w:rFonts w:ascii="Times New Roman" w:hAnsi="Times New Roman"/>
          <w:sz w:val="26"/>
          <w:szCs w:val="26"/>
        </w:rPr>
        <w:t xml:space="preserve">versão ou encerramento da conta, </w:t>
      </w:r>
      <w:r w:rsidRPr="009A10F6">
        <w:rPr>
          <w:rFonts w:ascii="Times New Roman" w:hAnsi="Times New Roman"/>
          <w:sz w:val="26"/>
          <w:szCs w:val="26"/>
        </w:rPr>
        <w:t xml:space="preserve">desde que decorra da remuneração referida no número anterior. </w:t>
      </w:r>
    </w:p>
    <w:p w14:paraId="04FE7D8E" w14:textId="20CEC7E6" w:rsidR="003F4E66" w:rsidRPr="009A10F6" w:rsidRDefault="003F4E66" w:rsidP="003F4E6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hAnsi="Times New Roman"/>
          <w:sz w:val="26"/>
          <w:szCs w:val="26"/>
        </w:rPr>
        <w:t>O saldo</w:t>
      </w:r>
      <w:r w:rsidR="00E810F6">
        <w:rPr>
          <w:rFonts w:ascii="Times New Roman" w:hAnsi="Times New Roman"/>
          <w:sz w:val="26"/>
          <w:szCs w:val="26"/>
        </w:rPr>
        <w:t xml:space="preserve"> excedente</w:t>
      </w:r>
      <w:r w:rsidRPr="009A10F6">
        <w:rPr>
          <w:rFonts w:ascii="Times New Roman" w:hAnsi="Times New Roman"/>
          <w:sz w:val="26"/>
          <w:szCs w:val="26"/>
        </w:rPr>
        <w:t xml:space="preserve"> só pode ser mantido pelo período acordado entre a instituição de crédito e o cliente, que não pode ser superior a um ano.</w:t>
      </w:r>
    </w:p>
    <w:p w14:paraId="32235C58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119A78CF" w14:textId="152EC735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Artigo 1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3</w:t>
      </w:r>
    </w:p>
    <w:p w14:paraId="6E1952B2" w14:textId="5EFA4529" w:rsidR="003F4E66" w:rsidRPr="002F4924" w:rsidRDefault="00645CD5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2F4924">
        <w:rPr>
          <w:rFonts w:ascii="Times New Roman" w:hAnsi="Times New Roman" w:cs="Times New Roman"/>
          <w:b/>
          <w:sz w:val="26"/>
          <w:szCs w:val="26"/>
          <w:lang w:val="pt-PT"/>
        </w:rPr>
        <w:t xml:space="preserve">Limites nas transacções </w:t>
      </w:r>
      <w:r w:rsidR="0009241B" w:rsidRPr="002F4924">
        <w:rPr>
          <w:rFonts w:ascii="Times New Roman" w:hAnsi="Times New Roman" w:cs="Times New Roman"/>
          <w:b/>
          <w:sz w:val="26"/>
          <w:szCs w:val="26"/>
          <w:lang w:val="pt-PT"/>
        </w:rPr>
        <w:t>da conta básica ou simplificada</w:t>
      </w:r>
    </w:p>
    <w:p w14:paraId="5C866B07" w14:textId="714E18DA" w:rsidR="0009241B" w:rsidRPr="00886E51" w:rsidRDefault="00645CD5" w:rsidP="00645CD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pt-PT"/>
        </w:rPr>
      </w:pPr>
      <w:r w:rsidRPr="00886E51">
        <w:rPr>
          <w:rFonts w:ascii="Times New Roman" w:hAnsi="Times New Roman"/>
          <w:sz w:val="26"/>
          <w:szCs w:val="26"/>
          <w:lang w:val="pt-PT"/>
        </w:rPr>
        <w:t xml:space="preserve">As transacções atinentes aos </w:t>
      </w:r>
      <w:r w:rsidR="0009241B" w:rsidRPr="00886E51">
        <w:rPr>
          <w:rFonts w:ascii="Times New Roman" w:hAnsi="Times New Roman"/>
          <w:sz w:val="26"/>
          <w:szCs w:val="26"/>
          <w:lang w:val="pt-PT"/>
        </w:rPr>
        <w:t>produtos e serviços financeiros disponibilizados na conta básica ou simplificada</w:t>
      </w:r>
      <w:r w:rsidR="00AF1515" w:rsidRPr="00886E51">
        <w:rPr>
          <w:rFonts w:ascii="Times New Roman" w:hAnsi="Times New Roman"/>
          <w:sz w:val="26"/>
          <w:szCs w:val="26"/>
          <w:lang w:val="pt-PT"/>
        </w:rPr>
        <w:t xml:space="preserve">, nomeadamente, pagamentos, levantamentos, depósitos e remessas familiares transfronteiriças, não devem exceder </w:t>
      </w:r>
      <w:r w:rsidR="002F4924" w:rsidRPr="00886E51">
        <w:rPr>
          <w:rFonts w:ascii="Times New Roman" w:hAnsi="Times New Roman"/>
          <w:sz w:val="26"/>
          <w:szCs w:val="26"/>
          <w:lang w:val="pt-PT"/>
        </w:rPr>
        <w:t xml:space="preserve">diária ou </w:t>
      </w:r>
      <w:r w:rsidR="00AF1515" w:rsidRPr="00886E51">
        <w:rPr>
          <w:rFonts w:ascii="Times New Roman" w:hAnsi="Times New Roman"/>
          <w:sz w:val="26"/>
          <w:szCs w:val="26"/>
          <w:lang w:val="pt-PT"/>
        </w:rPr>
        <w:t xml:space="preserve">mensalmente o saldo máximo </w:t>
      </w:r>
      <w:r w:rsidR="009B30F8" w:rsidRPr="00886E51">
        <w:rPr>
          <w:rFonts w:ascii="Times New Roman" w:hAnsi="Times New Roman"/>
          <w:sz w:val="26"/>
          <w:szCs w:val="26"/>
          <w:lang w:val="pt-PT"/>
        </w:rPr>
        <w:t xml:space="preserve">fixado </w:t>
      </w:r>
      <w:r w:rsidR="00AF1515" w:rsidRPr="00886E51">
        <w:rPr>
          <w:rFonts w:ascii="Times New Roman" w:hAnsi="Times New Roman"/>
          <w:sz w:val="26"/>
          <w:szCs w:val="26"/>
          <w:lang w:val="pt-PT"/>
        </w:rPr>
        <w:t xml:space="preserve">para a conta.  </w:t>
      </w:r>
    </w:p>
    <w:p w14:paraId="66AA3A93" w14:textId="77777777" w:rsidR="00886E51" w:rsidRDefault="00886E51" w:rsidP="00886E51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lang w:val="pt-PT"/>
        </w:rPr>
      </w:pPr>
    </w:p>
    <w:p w14:paraId="3195932B" w14:textId="77777777" w:rsidR="00886E51" w:rsidRDefault="00886E51" w:rsidP="00886E51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pt-PT"/>
        </w:rPr>
      </w:pPr>
    </w:p>
    <w:p w14:paraId="5F37B744" w14:textId="77777777" w:rsidR="00886E51" w:rsidRDefault="00886E51" w:rsidP="00886E51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pt-PT"/>
        </w:rPr>
      </w:pPr>
    </w:p>
    <w:p w14:paraId="1AA6A180" w14:textId="223ED32A" w:rsidR="00645CD5" w:rsidRPr="00645CD5" w:rsidRDefault="00645CD5" w:rsidP="00886E51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pt-PT"/>
        </w:rPr>
      </w:pPr>
      <w:r w:rsidRPr="00645CD5">
        <w:rPr>
          <w:rFonts w:ascii="Times New Roman" w:hAnsi="Times New Roman"/>
          <w:b/>
          <w:bCs/>
          <w:sz w:val="26"/>
          <w:szCs w:val="26"/>
          <w:lang w:val="pt-PT"/>
        </w:rPr>
        <w:t>Artigo</w:t>
      </w:r>
      <w:r>
        <w:rPr>
          <w:rFonts w:ascii="Times New Roman" w:hAnsi="Times New Roman"/>
          <w:b/>
          <w:bCs/>
          <w:sz w:val="26"/>
          <w:szCs w:val="26"/>
          <w:lang w:val="pt-PT"/>
        </w:rPr>
        <w:t xml:space="preserve"> 1</w:t>
      </w:r>
      <w:r w:rsidR="009B30F8">
        <w:rPr>
          <w:rFonts w:ascii="Times New Roman" w:hAnsi="Times New Roman"/>
          <w:b/>
          <w:bCs/>
          <w:sz w:val="26"/>
          <w:szCs w:val="26"/>
          <w:lang w:val="pt-PT"/>
        </w:rPr>
        <w:t>4</w:t>
      </w:r>
    </w:p>
    <w:p w14:paraId="6F63D426" w14:textId="77777777" w:rsidR="00645CD5" w:rsidRPr="00645CD5" w:rsidRDefault="00645CD5" w:rsidP="00645CD5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pt-PT"/>
        </w:rPr>
      </w:pPr>
      <w:r w:rsidRPr="00645CD5">
        <w:rPr>
          <w:rFonts w:ascii="Times New Roman" w:hAnsi="Times New Roman"/>
          <w:b/>
          <w:bCs/>
          <w:sz w:val="26"/>
          <w:szCs w:val="26"/>
          <w:lang w:val="pt-PT"/>
        </w:rPr>
        <w:t>Concessão de crédito</w:t>
      </w:r>
    </w:p>
    <w:p w14:paraId="458A94D4" w14:textId="03AE1BD6" w:rsidR="003F4E66" w:rsidRPr="00645CD5" w:rsidRDefault="00D97FB4" w:rsidP="00645CD5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45CD5">
        <w:rPr>
          <w:rFonts w:ascii="Times New Roman" w:hAnsi="Times New Roman"/>
          <w:sz w:val="26"/>
          <w:szCs w:val="26"/>
        </w:rPr>
        <w:t>As instituições de crédito podem conceder crédito aos</w:t>
      </w:r>
      <w:r w:rsidR="003F4E66" w:rsidRPr="00645CD5">
        <w:rPr>
          <w:rFonts w:ascii="Times New Roman" w:hAnsi="Times New Roman"/>
          <w:sz w:val="26"/>
          <w:szCs w:val="26"/>
        </w:rPr>
        <w:t xml:space="preserve"> titulares da conta bancária básica ou simplificada</w:t>
      </w:r>
      <w:r w:rsidR="00AF1515">
        <w:rPr>
          <w:rFonts w:ascii="Times New Roman" w:hAnsi="Times New Roman"/>
          <w:sz w:val="26"/>
          <w:szCs w:val="26"/>
        </w:rPr>
        <w:t>,</w:t>
      </w:r>
      <w:r w:rsidR="003F4E66" w:rsidRPr="00645CD5">
        <w:rPr>
          <w:rFonts w:ascii="Times New Roman" w:hAnsi="Times New Roman"/>
          <w:sz w:val="26"/>
          <w:szCs w:val="26"/>
        </w:rPr>
        <w:t xml:space="preserve"> </w:t>
      </w:r>
      <w:r w:rsidRPr="00645CD5">
        <w:rPr>
          <w:rFonts w:ascii="Times New Roman" w:hAnsi="Times New Roman"/>
          <w:sz w:val="26"/>
          <w:szCs w:val="26"/>
        </w:rPr>
        <w:t>dentro dos limites da respectiva capacidade financeira e dos valores fixados para a conta</w:t>
      </w:r>
      <w:r w:rsidR="003F4E66" w:rsidRPr="00645CD5">
        <w:rPr>
          <w:rFonts w:ascii="Times New Roman" w:hAnsi="Times New Roman"/>
          <w:sz w:val="26"/>
          <w:szCs w:val="26"/>
        </w:rPr>
        <w:t>.</w:t>
      </w:r>
    </w:p>
    <w:p w14:paraId="707C6E2B" w14:textId="57B3E32C" w:rsidR="003F4E66" w:rsidRDefault="003F4E66" w:rsidP="00645CD5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85953">
        <w:rPr>
          <w:rFonts w:ascii="Times New Roman" w:hAnsi="Times New Roman"/>
          <w:sz w:val="26"/>
          <w:szCs w:val="26"/>
        </w:rPr>
        <w:t xml:space="preserve">A instituição de crédito deve promover a concessão de taxas de juro </w:t>
      </w:r>
      <w:r w:rsidR="00E45D49">
        <w:rPr>
          <w:rFonts w:ascii="Times New Roman" w:hAnsi="Times New Roman"/>
          <w:sz w:val="26"/>
          <w:szCs w:val="26"/>
        </w:rPr>
        <w:t>bonificadas</w:t>
      </w:r>
      <w:r w:rsidRPr="00785953">
        <w:rPr>
          <w:rFonts w:ascii="Times New Roman" w:hAnsi="Times New Roman"/>
          <w:sz w:val="26"/>
          <w:szCs w:val="26"/>
        </w:rPr>
        <w:t>, ajustadas à situação do cliente, bem como à finalidade do crédito.</w:t>
      </w:r>
    </w:p>
    <w:p w14:paraId="709B49B3" w14:textId="77777777" w:rsidR="0009241B" w:rsidRPr="00785953" w:rsidRDefault="0009241B" w:rsidP="00D97FB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0674F64" w14:textId="2B1EEF45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Artigo 1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5</w:t>
      </w:r>
    </w:p>
    <w:p w14:paraId="665D7070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Dever especial de informação</w:t>
      </w:r>
    </w:p>
    <w:p w14:paraId="29AF72F9" w14:textId="1D407418" w:rsidR="003F4E66" w:rsidRDefault="003F4E66" w:rsidP="005D5AA0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pt-PT"/>
        </w:rPr>
      </w:pPr>
      <w:r w:rsidRPr="005D5AA0">
        <w:rPr>
          <w:rFonts w:ascii="Times New Roman" w:hAnsi="Times New Roman"/>
          <w:sz w:val="26"/>
          <w:szCs w:val="26"/>
          <w:lang w:val="pt-PT"/>
        </w:rPr>
        <w:lastRenderedPageBreak/>
        <w:t xml:space="preserve">As instituições de crédito devem divulgar a disponibilidade da conta bancária básica ou simplificada através de documentos ou folhetos ilustrativos, incluindo </w:t>
      </w:r>
      <w:r w:rsidR="005D5AA0" w:rsidRPr="005D5AA0">
        <w:rPr>
          <w:rFonts w:ascii="Times New Roman" w:hAnsi="Times New Roman"/>
          <w:sz w:val="26"/>
          <w:szCs w:val="26"/>
          <w:lang w:val="pt-PT"/>
        </w:rPr>
        <w:t>n</w:t>
      </w:r>
      <w:r w:rsidRPr="005D5AA0">
        <w:rPr>
          <w:rFonts w:ascii="Times New Roman" w:hAnsi="Times New Roman"/>
          <w:sz w:val="26"/>
          <w:szCs w:val="26"/>
          <w:lang w:val="pt-PT"/>
        </w:rPr>
        <w:t xml:space="preserve">a sua página de </w:t>
      </w:r>
      <w:r w:rsidRPr="005D5AA0">
        <w:rPr>
          <w:rFonts w:ascii="Times New Roman" w:hAnsi="Times New Roman"/>
          <w:i/>
          <w:sz w:val="26"/>
          <w:szCs w:val="26"/>
          <w:lang w:val="pt-PT"/>
        </w:rPr>
        <w:t xml:space="preserve">internet </w:t>
      </w:r>
      <w:r w:rsidRPr="005D5AA0">
        <w:rPr>
          <w:rFonts w:ascii="Times New Roman" w:hAnsi="Times New Roman"/>
          <w:sz w:val="26"/>
          <w:szCs w:val="26"/>
          <w:lang w:val="pt-PT"/>
        </w:rPr>
        <w:t>ou outros meios de comunicação legalmente permitidos</w:t>
      </w:r>
      <w:r w:rsidR="005D5AA0">
        <w:rPr>
          <w:rFonts w:ascii="Times New Roman" w:hAnsi="Times New Roman"/>
          <w:sz w:val="26"/>
          <w:szCs w:val="26"/>
          <w:lang w:val="pt-PT"/>
        </w:rPr>
        <w:t>, com o seguinte conteúdo mínimo:</w:t>
      </w:r>
    </w:p>
    <w:p w14:paraId="1CD4667B" w14:textId="22DFEFC1" w:rsidR="005D5AA0" w:rsidRDefault="005D5AA0" w:rsidP="005D5AA0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5AA0">
        <w:rPr>
          <w:rFonts w:ascii="Times New Roman" w:hAnsi="Times New Roman"/>
          <w:sz w:val="26"/>
          <w:szCs w:val="26"/>
        </w:rPr>
        <w:t>Saldo máximo da conta;</w:t>
      </w:r>
    </w:p>
    <w:p w14:paraId="03FD7DD5" w14:textId="62A12F15" w:rsidR="005D5AA0" w:rsidRPr="005D5AA0" w:rsidRDefault="005D5AA0" w:rsidP="005D5AA0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Não necessidade de dep</w:t>
      </w:r>
      <w:r w:rsidR="002F4924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 xml:space="preserve">sito inicial; </w:t>
      </w:r>
    </w:p>
    <w:p w14:paraId="5BBBBD9C" w14:textId="5276219B" w:rsidR="005D5AA0" w:rsidRPr="005D5AA0" w:rsidRDefault="005D5AA0" w:rsidP="005D5AA0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5AA0">
        <w:rPr>
          <w:rFonts w:ascii="Times New Roman" w:hAnsi="Times New Roman"/>
          <w:sz w:val="26"/>
          <w:szCs w:val="26"/>
        </w:rPr>
        <w:t>Operações permitidas;</w:t>
      </w:r>
    </w:p>
    <w:p w14:paraId="67A6F2BC" w14:textId="038C2275" w:rsidR="005D5AA0" w:rsidRPr="005D5AA0" w:rsidRDefault="005D5AA0" w:rsidP="005D5AA0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5AA0">
        <w:rPr>
          <w:rFonts w:ascii="Times New Roman" w:hAnsi="Times New Roman"/>
          <w:sz w:val="26"/>
          <w:szCs w:val="26"/>
        </w:rPr>
        <w:t>Regime de gratuidades, relativas a taxas e comissões;</w:t>
      </w:r>
      <w:r w:rsidR="002F4924">
        <w:rPr>
          <w:rFonts w:ascii="Times New Roman" w:hAnsi="Times New Roman"/>
          <w:sz w:val="26"/>
          <w:szCs w:val="26"/>
        </w:rPr>
        <w:t xml:space="preserve"> e</w:t>
      </w:r>
    </w:p>
    <w:p w14:paraId="5B96CD9C" w14:textId="6BFE6024" w:rsidR="005D5AA0" w:rsidRPr="005D5AA0" w:rsidRDefault="005D5AA0" w:rsidP="005D5AA0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5AA0">
        <w:rPr>
          <w:rFonts w:ascii="Times New Roman" w:hAnsi="Times New Roman"/>
          <w:sz w:val="26"/>
          <w:szCs w:val="26"/>
        </w:rPr>
        <w:t xml:space="preserve">Documentos necessários. </w:t>
      </w:r>
    </w:p>
    <w:p w14:paraId="18F4223C" w14:textId="6906FB43" w:rsidR="005D5AA0" w:rsidRPr="005D5AA0" w:rsidRDefault="005D5AA0" w:rsidP="005D5AA0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pt-PT"/>
        </w:rPr>
      </w:pPr>
      <w:r>
        <w:rPr>
          <w:rFonts w:ascii="Times New Roman" w:hAnsi="Times New Roman"/>
          <w:sz w:val="26"/>
          <w:szCs w:val="26"/>
          <w:lang w:val="pt-PT"/>
        </w:rPr>
        <w:t xml:space="preserve"> </w:t>
      </w:r>
    </w:p>
    <w:p w14:paraId="0C6BF80A" w14:textId="03669877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Artigo 1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6</w:t>
      </w:r>
    </w:p>
    <w:p w14:paraId="251746B1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Serviços financeiros gratuitos</w:t>
      </w:r>
    </w:p>
    <w:p w14:paraId="533BCA4F" w14:textId="4E9F3826" w:rsidR="003F4E66" w:rsidRPr="009A10F6" w:rsidRDefault="003F4E66" w:rsidP="003F4E66">
      <w:pPr>
        <w:pStyle w:val="ListParagraph"/>
        <w:numPr>
          <w:ilvl w:val="0"/>
          <w:numId w:val="33"/>
        </w:numPr>
        <w:spacing w:after="0" w:line="360" w:lineRule="auto"/>
        <w:ind w:left="360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 xml:space="preserve">Sem prejuízo </w:t>
      </w:r>
      <w:r w:rsidR="00AF1515">
        <w:rPr>
          <w:rFonts w:ascii="Times New Roman" w:eastAsiaTheme="minorHAnsi" w:hAnsi="Times New Roman"/>
          <w:sz w:val="26"/>
          <w:szCs w:val="26"/>
        </w:rPr>
        <w:t xml:space="preserve">do disposto no </w:t>
      </w:r>
      <w:r w:rsidR="00AF1515" w:rsidRPr="009A10F6">
        <w:rPr>
          <w:rFonts w:ascii="Times New Roman" w:eastAsiaTheme="minorHAnsi" w:hAnsi="Times New Roman"/>
          <w:sz w:val="26"/>
          <w:szCs w:val="26"/>
        </w:rPr>
        <w:t>Regime de Comissões e Encargos dos Produtos e Serviços Financeiros</w:t>
      </w:r>
      <w:r w:rsidRPr="009A10F6">
        <w:rPr>
          <w:rFonts w:ascii="Times New Roman" w:eastAsiaTheme="minorHAnsi" w:hAnsi="Times New Roman"/>
          <w:sz w:val="26"/>
          <w:szCs w:val="26"/>
        </w:rPr>
        <w:t>, para a conta bancária básica ou simplificada</w:t>
      </w:r>
      <w:r w:rsidR="00AF1515">
        <w:rPr>
          <w:rFonts w:ascii="Times New Roman" w:eastAsiaTheme="minorHAnsi" w:hAnsi="Times New Roman"/>
          <w:sz w:val="26"/>
          <w:szCs w:val="26"/>
        </w:rPr>
        <w:t xml:space="preserve"> é </w:t>
      </w:r>
      <w:r w:rsidR="008C7FB8">
        <w:rPr>
          <w:rFonts w:ascii="Times New Roman" w:eastAsiaTheme="minorHAnsi" w:hAnsi="Times New Roman"/>
          <w:sz w:val="26"/>
          <w:szCs w:val="26"/>
        </w:rPr>
        <w:t>aplicável</w:t>
      </w:r>
      <w:r w:rsidRPr="009A10F6">
        <w:rPr>
          <w:rFonts w:ascii="Times New Roman" w:eastAsiaTheme="minorHAnsi" w:hAnsi="Times New Roman"/>
          <w:sz w:val="26"/>
          <w:szCs w:val="26"/>
        </w:rPr>
        <w:t>, em especial, o seguinte</w:t>
      </w:r>
      <w:r w:rsidR="00AF1515">
        <w:rPr>
          <w:rFonts w:ascii="Times New Roman" w:eastAsiaTheme="minorHAnsi" w:hAnsi="Times New Roman"/>
          <w:sz w:val="26"/>
          <w:szCs w:val="26"/>
        </w:rPr>
        <w:t xml:space="preserve"> regime de gratuitidades</w:t>
      </w:r>
      <w:r w:rsidRPr="009A10F6">
        <w:rPr>
          <w:rFonts w:ascii="Times New Roman" w:eastAsiaTheme="minorHAnsi" w:hAnsi="Times New Roman"/>
          <w:sz w:val="26"/>
          <w:szCs w:val="26"/>
        </w:rPr>
        <w:t xml:space="preserve">: </w:t>
      </w:r>
    </w:p>
    <w:p w14:paraId="37CD172F" w14:textId="77777777" w:rsidR="003F4E66" w:rsidRPr="009A10F6" w:rsidRDefault="003F4E66" w:rsidP="003F4E66">
      <w:pPr>
        <w:pStyle w:val="ListParagraph"/>
        <w:numPr>
          <w:ilvl w:val="0"/>
          <w:numId w:val="34"/>
        </w:numPr>
        <w:spacing w:after="0" w:line="360" w:lineRule="auto"/>
        <w:ind w:left="708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>Relativamente às operações efectuadas através de canais electrónicos:</w:t>
      </w:r>
    </w:p>
    <w:p w14:paraId="51FF41C9" w14:textId="77777777" w:rsidR="003F4E66" w:rsidRPr="009A10F6" w:rsidRDefault="003F4E66" w:rsidP="003F4E66">
      <w:pPr>
        <w:pStyle w:val="ListParagraph"/>
        <w:numPr>
          <w:ilvl w:val="0"/>
          <w:numId w:val="35"/>
        </w:numPr>
        <w:spacing w:after="0" w:line="360" w:lineRule="auto"/>
        <w:ind w:left="1134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>As primeiras quatro impressões, por mês, do saldo em ATM e POS, dentro do país;</w:t>
      </w:r>
    </w:p>
    <w:p w14:paraId="488BA272" w14:textId="77777777" w:rsidR="003F4E66" w:rsidRPr="009A10F6" w:rsidRDefault="003F4E66" w:rsidP="003F4E66">
      <w:pPr>
        <w:pStyle w:val="ListParagraph"/>
        <w:numPr>
          <w:ilvl w:val="0"/>
          <w:numId w:val="35"/>
        </w:numPr>
        <w:spacing w:after="0" w:line="360" w:lineRule="auto"/>
        <w:ind w:left="1134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>As primeiras quatro impressões, por mês, de NUIB, NIB ou IBAN em ATM ou POS, dentro do país;</w:t>
      </w:r>
    </w:p>
    <w:p w14:paraId="2FE3D4DE" w14:textId="6CFCD9A8" w:rsidR="003F4E66" w:rsidRDefault="003F4E66" w:rsidP="003F4E66">
      <w:pPr>
        <w:pStyle w:val="ListParagraph"/>
        <w:numPr>
          <w:ilvl w:val="0"/>
          <w:numId w:val="35"/>
        </w:numPr>
        <w:spacing w:after="0" w:line="360" w:lineRule="auto"/>
        <w:ind w:left="1134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 xml:space="preserve">Primeiras quatro impressões, por mês, de </w:t>
      </w:r>
      <w:proofErr w:type="spellStart"/>
      <w:r w:rsidRPr="009A10F6">
        <w:rPr>
          <w:rFonts w:ascii="Times New Roman" w:eastAsiaTheme="minorHAnsi" w:hAnsi="Times New Roman"/>
          <w:sz w:val="26"/>
          <w:szCs w:val="26"/>
        </w:rPr>
        <w:t>mini-extractos</w:t>
      </w:r>
      <w:proofErr w:type="spellEnd"/>
      <w:r w:rsidRPr="009A10F6">
        <w:rPr>
          <w:rFonts w:ascii="Times New Roman" w:eastAsiaTheme="minorHAnsi" w:hAnsi="Times New Roman"/>
          <w:sz w:val="26"/>
          <w:szCs w:val="26"/>
        </w:rPr>
        <w:t xml:space="preserve"> e de</w:t>
      </w:r>
      <w:r w:rsidRPr="009A10F6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9A10F6">
        <w:rPr>
          <w:rFonts w:ascii="Times New Roman" w:eastAsiaTheme="minorHAnsi" w:hAnsi="Times New Roman"/>
          <w:sz w:val="26"/>
          <w:szCs w:val="26"/>
        </w:rPr>
        <w:t>movimentos em ATM ou POS;</w:t>
      </w:r>
    </w:p>
    <w:p w14:paraId="3B370083" w14:textId="1AD670D5" w:rsidR="008D64C3" w:rsidRPr="009A10F6" w:rsidRDefault="008D64C3" w:rsidP="003F4E66">
      <w:pPr>
        <w:pStyle w:val="ListParagraph"/>
        <w:numPr>
          <w:ilvl w:val="0"/>
          <w:numId w:val="35"/>
        </w:numPr>
        <w:spacing w:after="0" w:line="360" w:lineRule="auto"/>
        <w:ind w:left="1134" w:hanging="426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As primeiras duas transferências até ao limite de 1.000,00 MT (Mil meticais), por mês;</w:t>
      </w:r>
    </w:p>
    <w:p w14:paraId="526A203D" w14:textId="4E57A0FB" w:rsidR="003F4E66" w:rsidRPr="009A10F6" w:rsidRDefault="003F4E66" w:rsidP="003F4E66">
      <w:pPr>
        <w:pStyle w:val="ListParagraph"/>
        <w:numPr>
          <w:ilvl w:val="0"/>
          <w:numId w:val="35"/>
        </w:numPr>
        <w:spacing w:after="0" w:line="360" w:lineRule="auto"/>
        <w:ind w:left="1134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 xml:space="preserve">Primeiros três levantamentos, por mês, </w:t>
      </w:r>
      <w:r w:rsidR="00454E3B">
        <w:rPr>
          <w:rFonts w:ascii="Times New Roman" w:eastAsiaTheme="minorHAnsi" w:hAnsi="Times New Roman"/>
          <w:sz w:val="26"/>
          <w:szCs w:val="26"/>
        </w:rPr>
        <w:t xml:space="preserve">no caixa, </w:t>
      </w:r>
      <w:r w:rsidRPr="009A10F6">
        <w:rPr>
          <w:rFonts w:ascii="Times New Roman" w:eastAsiaTheme="minorHAnsi" w:hAnsi="Times New Roman"/>
          <w:sz w:val="26"/>
          <w:szCs w:val="26"/>
        </w:rPr>
        <w:t>em ATM ou POS, dentro do país</w:t>
      </w:r>
      <w:r w:rsidR="008D64C3">
        <w:rPr>
          <w:rFonts w:ascii="Times New Roman" w:eastAsiaTheme="minorHAnsi" w:hAnsi="Times New Roman"/>
          <w:sz w:val="26"/>
          <w:szCs w:val="26"/>
        </w:rPr>
        <w:t>.</w:t>
      </w:r>
    </w:p>
    <w:p w14:paraId="4C63AAF6" w14:textId="741023F4" w:rsidR="003F4E66" w:rsidRPr="009A10F6" w:rsidRDefault="003F4E66" w:rsidP="003F4E66">
      <w:pPr>
        <w:pStyle w:val="ListParagraph"/>
        <w:numPr>
          <w:ilvl w:val="0"/>
          <w:numId w:val="34"/>
        </w:numPr>
        <w:spacing w:after="0" w:line="360" w:lineRule="auto"/>
        <w:ind w:left="708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 xml:space="preserve">Relativamente </w:t>
      </w:r>
      <w:r w:rsidR="006D3F91">
        <w:rPr>
          <w:rFonts w:ascii="Times New Roman" w:eastAsiaTheme="minorHAnsi" w:hAnsi="Times New Roman"/>
          <w:sz w:val="26"/>
          <w:szCs w:val="26"/>
        </w:rPr>
        <w:t>à</w:t>
      </w:r>
      <w:r w:rsidRPr="009A10F6">
        <w:rPr>
          <w:rFonts w:ascii="Times New Roman" w:eastAsiaTheme="minorHAnsi" w:hAnsi="Times New Roman"/>
          <w:sz w:val="26"/>
          <w:szCs w:val="26"/>
        </w:rPr>
        <w:t xml:space="preserve"> moeda electrónica disponibilizada pela instituição de crédito:</w:t>
      </w:r>
    </w:p>
    <w:p w14:paraId="26A2814D" w14:textId="77777777" w:rsidR="003F4E66" w:rsidRPr="009A10F6" w:rsidRDefault="003F4E66" w:rsidP="003F4E66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 xml:space="preserve">Consulta de saldo, movimentos, </w:t>
      </w:r>
      <w:proofErr w:type="spellStart"/>
      <w:r w:rsidRPr="009A10F6">
        <w:rPr>
          <w:rFonts w:ascii="Times New Roman" w:eastAsiaTheme="minorHAnsi" w:hAnsi="Times New Roman"/>
          <w:sz w:val="26"/>
          <w:szCs w:val="26"/>
        </w:rPr>
        <w:t>extractos</w:t>
      </w:r>
      <w:proofErr w:type="spellEnd"/>
      <w:r w:rsidRPr="009A10F6">
        <w:rPr>
          <w:rFonts w:ascii="Times New Roman" w:eastAsiaTheme="minorHAnsi" w:hAnsi="Times New Roman"/>
          <w:sz w:val="26"/>
          <w:szCs w:val="26"/>
        </w:rPr>
        <w:t xml:space="preserve"> e </w:t>
      </w:r>
      <w:proofErr w:type="spellStart"/>
      <w:r w:rsidRPr="009A10F6">
        <w:rPr>
          <w:rFonts w:ascii="Times New Roman" w:eastAsiaTheme="minorHAnsi" w:hAnsi="Times New Roman"/>
          <w:sz w:val="26"/>
          <w:szCs w:val="26"/>
        </w:rPr>
        <w:t>mini-extractos</w:t>
      </w:r>
      <w:proofErr w:type="spellEnd"/>
      <w:r w:rsidRPr="009A10F6">
        <w:rPr>
          <w:rFonts w:ascii="Times New Roman" w:eastAsiaTheme="minorHAnsi" w:hAnsi="Times New Roman"/>
          <w:sz w:val="26"/>
          <w:szCs w:val="26"/>
        </w:rPr>
        <w:t xml:space="preserve"> em canais </w:t>
      </w:r>
      <w:proofErr w:type="spellStart"/>
      <w:r w:rsidRPr="009A10F6">
        <w:rPr>
          <w:rFonts w:ascii="Times New Roman" w:eastAsiaTheme="minorHAnsi" w:hAnsi="Times New Roman"/>
          <w:sz w:val="26"/>
          <w:szCs w:val="26"/>
        </w:rPr>
        <w:t>electrónicos</w:t>
      </w:r>
      <w:proofErr w:type="spellEnd"/>
      <w:r w:rsidRPr="009A10F6">
        <w:rPr>
          <w:rFonts w:ascii="Times New Roman" w:eastAsiaTheme="minorHAnsi" w:hAnsi="Times New Roman"/>
          <w:sz w:val="26"/>
          <w:szCs w:val="26"/>
        </w:rPr>
        <w:t>, correspondentes a pelo menos cinco transacções;</w:t>
      </w:r>
    </w:p>
    <w:p w14:paraId="434729F5" w14:textId="77777777" w:rsidR="003F4E66" w:rsidRPr="009A10F6" w:rsidRDefault="003F4E66" w:rsidP="003F4E66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lastRenderedPageBreak/>
        <w:t xml:space="preserve">Transferência entre contas da mesma instituição, até </w:t>
      </w:r>
      <w:r w:rsidR="00D97FB4">
        <w:rPr>
          <w:rFonts w:ascii="Times New Roman" w:eastAsiaTheme="minorHAnsi" w:hAnsi="Times New Roman"/>
          <w:sz w:val="26"/>
          <w:szCs w:val="26"/>
        </w:rPr>
        <w:t>5</w:t>
      </w:r>
      <w:r w:rsidRPr="009A10F6">
        <w:rPr>
          <w:rFonts w:ascii="Times New Roman" w:eastAsiaTheme="minorHAnsi" w:hAnsi="Times New Roman"/>
          <w:sz w:val="26"/>
          <w:szCs w:val="26"/>
        </w:rPr>
        <w:t>00,00 MT (</w:t>
      </w:r>
      <w:r w:rsidR="00D97FB4">
        <w:rPr>
          <w:rFonts w:ascii="Times New Roman" w:eastAsiaTheme="minorHAnsi" w:hAnsi="Times New Roman"/>
          <w:sz w:val="26"/>
          <w:szCs w:val="26"/>
        </w:rPr>
        <w:t>Quinhentos</w:t>
      </w:r>
      <w:r w:rsidRPr="009A10F6">
        <w:rPr>
          <w:rFonts w:ascii="Times New Roman" w:eastAsiaTheme="minorHAnsi" w:hAnsi="Times New Roman"/>
          <w:sz w:val="26"/>
          <w:szCs w:val="26"/>
        </w:rPr>
        <w:t xml:space="preserve"> Meticais), uma vez por dia, por meios electrónicos, independentemente do canal utilizado;</w:t>
      </w:r>
    </w:p>
    <w:p w14:paraId="1C2184AE" w14:textId="6D2909FD" w:rsidR="003F4E66" w:rsidRPr="009A10F6" w:rsidRDefault="003F4E66" w:rsidP="003F4E66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 xml:space="preserve">Levantamento de numerário, em moeda nacional, resultante da moeda electrónica até </w:t>
      </w:r>
      <w:r w:rsidR="00D97FB4">
        <w:rPr>
          <w:rFonts w:ascii="Times New Roman" w:eastAsiaTheme="minorHAnsi" w:hAnsi="Times New Roman"/>
          <w:sz w:val="26"/>
          <w:szCs w:val="26"/>
        </w:rPr>
        <w:t>5</w:t>
      </w:r>
      <w:r w:rsidRPr="009A10F6">
        <w:rPr>
          <w:rFonts w:ascii="Times New Roman" w:eastAsiaTheme="minorHAnsi" w:hAnsi="Times New Roman"/>
          <w:sz w:val="26"/>
          <w:szCs w:val="26"/>
        </w:rPr>
        <w:t>00,00 MT (</w:t>
      </w:r>
      <w:r w:rsidR="00D97FB4">
        <w:rPr>
          <w:rFonts w:ascii="Times New Roman" w:eastAsiaTheme="minorHAnsi" w:hAnsi="Times New Roman"/>
          <w:sz w:val="26"/>
          <w:szCs w:val="26"/>
        </w:rPr>
        <w:t>Quinhentos</w:t>
      </w:r>
      <w:r w:rsidRPr="009A10F6">
        <w:rPr>
          <w:rFonts w:ascii="Times New Roman" w:eastAsiaTheme="minorHAnsi" w:hAnsi="Times New Roman"/>
          <w:sz w:val="26"/>
          <w:szCs w:val="26"/>
        </w:rPr>
        <w:t xml:space="preserve"> Meticais), uma vez por dia, ind</w:t>
      </w:r>
      <w:r w:rsidR="0042203F">
        <w:rPr>
          <w:rFonts w:ascii="Times New Roman" w:eastAsiaTheme="minorHAnsi" w:hAnsi="Times New Roman"/>
          <w:sz w:val="26"/>
          <w:szCs w:val="26"/>
        </w:rPr>
        <w:t>ependentemente do canal usado.</w:t>
      </w:r>
    </w:p>
    <w:p w14:paraId="4CEBD789" w14:textId="77777777" w:rsidR="003F4E66" w:rsidRPr="009A10F6" w:rsidRDefault="003F4E66" w:rsidP="003F4E66">
      <w:pPr>
        <w:pStyle w:val="ListParagraph"/>
        <w:numPr>
          <w:ilvl w:val="0"/>
          <w:numId w:val="33"/>
        </w:numPr>
        <w:spacing w:after="0" w:line="360" w:lineRule="auto"/>
        <w:ind w:left="360"/>
        <w:jc w:val="both"/>
        <w:rPr>
          <w:rFonts w:ascii="Times New Roman" w:eastAsiaTheme="minorHAnsi" w:hAnsi="Times New Roman"/>
          <w:sz w:val="26"/>
          <w:szCs w:val="26"/>
        </w:rPr>
      </w:pPr>
      <w:r w:rsidRPr="009A10F6">
        <w:rPr>
          <w:rFonts w:ascii="Times New Roman" w:eastAsiaTheme="minorHAnsi" w:hAnsi="Times New Roman"/>
          <w:sz w:val="26"/>
          <w:szCs w:val="26"/>
        </w:rPr>
        <w:t>Sem prejuízo do disposto no número anterior, as instituições de crédito podem, querendo, prestar outros serviços financeiros a título gratuito.</w:t>
      </w:r>
    </w:p>
    <w:p w14:paraId="0EB871D2" w14:textId="77777777" w:rsidR="003F4E66" w:rsidRPr="009A10F6" w:rsidRDefault="003F4E66" w:rsidP="003F4E6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54F350F7" w14:textId="56C52051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SECÇÃO 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I</w:t>
      </w: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V</w:t>
      </w:r>
    </w:p>
    <w:p w14:paraId="1575FF1B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Deveres do cliente</w:t>
      </w:r>
    </w:p>
    <w:p w14:paraId="6AC86D72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261BA8EC" w14:textId="66E10E0E" w:rsidR="003F4E66" w:rsidRPr="009A10F6" w:rsidRDefault="00C27AE1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Artigo 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17</w:t>
      </w:r>
    </w:p>
    <w:p w14:paraId="0E2C3EFA" w14:textId="77777777" w:rsidR="003F4E66" w:rsidRPr="009A10F6" w:rsidRDefault="003F4E66" w:rsidP="003F4E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proofErr w:type="spellStart"/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Actualização</w:t>
      </w:r>
      <w:proofErr w:type="spellEnd"/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 xml:space="preserve"> de informação</w:t>
      </w:r>
    </w:p>
    <w:p w14:paraId="2D11A9D6" w14:textId="0800311E" w:rsidR="002C7126" w:rsidRDefault="003F4E66" w:rsidP="00886E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Para efeitos do número 2 do artigo 42 da Lei n.º 27/2022, de 29 de Dezembro, os formulários disponibilizados pelas instituições de crédito devem conter os elementos, em função do cliente ser singular ou </w:t>
      </w:r>
      <w:proofErr w:type="spellStart"/>
      <w:r w:rsidRPr="009A10F6">
        <w:rPr>
          <w:rFonts w:ascii="Times New Roman" w:hAnsi="Times New Roman" w:cs="Times New Roman"/>
          <w:sz w:val="26"/>
          <w:szCs w:val="26"/>
          <w:lang w:val="pt-PT"/>
        </w:rPr>
        <w:t>colectivo</w:t>
      </w:r>
      <w:proofErr w:type="spellEnd"/>
      <w:r w:rsidR="00886E51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5C43AE">
        <w:rPr>
          <w:rFonts w:ascii="Times New Roman" w:hAnsi="Times New Roman" w:cs="Times New Roman"/>
          <w:sz w:val="26"/>
          <w:szCs w:val="26"/>
          <w:lang w:val="pt-PT"/>
        </w:rPr>
        <w:t xml:space="preserve">previstos </w:t>
      </w:r>
      <w:proofErr w:type="gramStart"/>
      <w:r w:rsidR="005C43AE">
        <w:rPr>
          <w:rFonts w:ascii="Times New Roman" w:hAnsi="Times New Roman" w:cs="Times New Roman"/>
          <w:sz w:val="26"/>
          <w:szCs w:val="26"/>
          <w:lang w:val="pt-PT"/>
        </w:rPr>
        <w:t xml:space="preserve">nos 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 artigos</w:t>
      </w:r>
      <w:proofErr w:type="gramEnd"/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 46, 48, 50 e 51 das Directrizes sobre Prevenção e Combate ao Branqueamento de Capitais, Financiamento do Terrorismo e Financiamento da Proliferação de Armas de Destruiçã</w:t>
      </w:r>
      <w:r w:rsidR="00895E2B">
        <w:rPr>
          <w:rFonts w:ascii="Times New Roman" w:hAnsi="Times New Roman" w:cs="Times New Roman"/>
          <w:sz w:val="26"/>
          <w:szCs w:val="26"/>
          <w:lang w:val="pt-PT"/>
        </w:rPr>
        <w:t>o em Massa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14:paraId="705E56CB" w14:textId="46A5C645" w:rsidR="0042203F" w:rsidRDefault="0042203F" w:rsidP="00B0565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5E7BCFD9" w14:textId="2035051B" w:rsidR="00B0565F" w:rsidRPr="009A10F6" w:rsidRDefault="00B0565F" w:rsidP="00B0565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CAPÍTULO III</w:t>
      </w:r>
    </w:p>
    <w:p w14:paraId="4EE19FC2" w14:textId="77777777" w:rsidR="003F4E66" w:rsidRPr="009A10F6" w:rsidRDefault="003F4E66" w:rsidP="003F4E66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FICHA DE INFORMAÇÃO NORMALIZADA DE DEPÓSITOS</w:t>
      </w:r>
    </w:p>
    <w:p w14:paraId="2F52281E" w14:textId="77777777" w:rsidR="00886E51" w:rsidRDefault="00886E51" w:rsidP="00886E51">
      <w:pPr>
        <w:pStyle w:val="NoSpacing"/>
        <w:spacing w:line="360" w:lineRule="auto"/>
        <w:rPr>
          <w:rFonts w:ascii="Times New Roman" w:hAnsi="Times New Roman"/>
          <w:b/>
          <w:color w:val="000000"/>
          <w:sz w:val="26"/>
          <w:szCs w:val="26"/>
          <w:lang w:val="pt-PT"/>
        </w:rPr>
      </w:pPr>
    </w:p>
    <w:p w14:paraId="5485AC5D" w14:textId="67B1E95B" w:rsidR="003F4E66" w:rsidRPr="009A10F6" w:rsidRDefault="006D3F91" w:rsidP="00886E51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b/>
          <w:color w:val="000000"/>
          <w:sz w:val="26"/>
          <w:szCs w:val="26"/>
          <w:lang w:val="pt-PT"/>
        </w:rPr>
        <w:t xml:space="preserve">Artigo </w:t>
      </w:r>
      <w:r w:rsidR="009B30F8">
        <w:rPr>
          <w:rFonts w:ascii="Times New Roman" w:hAnsi="Times New Roman"/>
          <w:b/>
          <w:color w:val="000000"/>
          <w:sz w:val="26"/>
          <w:szCs w:val="26"/>
          <w:lang w:val="pt-PT"/>
        </w:rPr>
        <w:t>18</w:t>
      </w:r>
    </w:p>
    <w:p w14:paraId="27325A15" w14:textId="77777777" w:rsidR="003F4E66" w:rsidRPr="009A10F6" w:rsidRDefault="003F4E66" w:rsidP="003F4E66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b/>
          <w:color w:val="000000"/>
          <w:sz w:val="26"/>
          <w:szCs w:val="26"/>
          <w:lang w:val="pt-PT"/>
        </w:rPr>
        <w:t>Dever de disponibilizar fichas de informação normalizada</w:t>
      </w:r>
    </w:p>
    <w:p w14:paraId="51B6997D" w14:textId="1CB6A924" w:rsidR="003F4E66" w:rsidRPr="009A10F6" w:rsidRDefault="003F4E66" w:rsidP="003F4E66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>Antes da abertura da conta bancária ou da celebração de contrato de depósito, a instituição de crédito deve disponibilizar</w:t>
      </w:r>
      <w:r w:rsidR="006D3F91">
        <w:rPr>
          <w:rFonts w:ascii="Times New Roman" w:hAnsi="Times New Roman"/>
          <w:color w:val="000000"/>
          <w:sz w:val="26"/>
          <w:szCs w:val="26"/>
          <w:lang w:val="pt-PT"/>
        </w:rPr>
        <w:t>,</w:t>
      </w: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 xml:space="preserve"> ao cliente</w:t>
      </w:r>
      <w:r w:rsidR="006D3F91">
        <w:rPr>
          <w:rFonts w:ascii="Times New Roman" w:hAnsi="Times New Roman"/>
          <w:color w:val="000000"/>
          <w:sz w:val="26"/>
          <w:szCs w:val="26"/>
          <w:lang w:val="pt-PT"/>
        </w:rPr>
        <w:t>,</w:t>
      </w: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 xml:space="preserve"> uma ficha de informação normalizada, de acordo com os modelos definidos nos </w:t>
      </w:r>
      <w:r w:rsidRPr="009A10F6">
        <w:rPr>
          <w:rFonts w:ascii="Times New Roman" w:hAnsi="Times New Roman"/>
          <w:b/>
          <w:color w:val="000000"/>
          <w:sz w:val="26"/>
          <w:szCs w:val="26"/>
          <w:lang w:val="pt-PT"/>
        </w:rPr>
        <w:t>Anexos II e III</w:t>
      </w: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 xml:space="preserve">, bem como seguir as notas de preenchimento constantes no </w:t>
      </w:r>
      <w:r w:rsidRPr="009A10F6">
        <w:rPr>
          <w:rFonts w:ascii="Times New Roman" w:hAnsi="Times New Roman"/>
          <w:b/>
          <w:color w:val="000000"/>
          <w:sz w:val="26"/>
          <w:szCs w:val="26"/>
          <w:lang w:val="pt-PT"/>
        </w:rPr>
        <w:t>Anexo IV</w:t>
      </w: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 xml:space="preserve"> do presente </w:t>
      </w:r>
      <w:r w:rsidR="00454E3B">
        <w:rPr>
          <w:rFonts w:ascii="Times New Roman" w:hAnsi="Times New Roman"/>
          <w:color w:val="000000"/>
          <w:sz w:val="26"/>
          <w:szCs w:val="26"/>
          <w:lang w:val="pt-PT"/>
        </w:rPr>
        <w:t>Regulamento</w:t>
      </w: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>, consoante se trate de depósito à ordem ou outros tipos de depósito.</w:t>
      </w:r>
    </w:p>
    <w:p w14:paraId="652B43A6" w14:textId="4A453321" w:rsidR="003F4E66" w:rsidRPr="009A10F6" w:rsidRDefault="003F4E66" w:rsidP="003F4E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lastRenderedPageBreak/>
        <w:t xml:space="preserve">A instituição de crédito deve, ainda, </w:t>
      </w:r>
      <w:r w:rsidR="006D3F91">
        <w:rPr>
          <w:rFonts w:ascii="Times New Roman" w:hAnsi="Times New Roman"/>
          <w:color w:val="000000"/>
          <w:sz w:val="26"/>
          <w:szCs w:val="26"/>
        </w:rPr>
        <w:t>permitir a verificação d</w:t>
      </w:r>
      <w:r w:rsidRPr="009A10F6">
        <w:rPr>
          <w:rFonts w:ascii="Times New Roman" w:hAnsi="Times New Roman"/>
          <w:color w:val="000000"/>
          <w:sz w:val="26"/>
          <w:szCs w:val="26"/>
        </w:rPr>
        <w:t xml:space="preserve">as fichas de informação normalizada na sua página de </w:t>
      </w:r>
      <w:r w:rsidRPr="009A10F6">
        <w:rPr>
          <w:rFonts w:ascii="Times New Roman" w:hAnsi="Times New Roman"/>
          <w:i/>
          <w:color w:val="000000"/>
          <w:sz w:val="26"/>
          <w:szCs w:val="26"/>
        </w:rPr>
        <w:t>Internet</w:t>
      </w:r>
      <w:r w:rsidRPr="009A10F6">
        <w:rPr>
          <w:rFonts w:ascii="Times New Roman" w:hAnsi="Times New Roman"/>
          <w:color w:val="000000"/>
          <w:sz w:val="26"/>
          <w:szCs w:val="26"/>
        </w:rPr>
        <w:t>.</w:t>
      </w:r>
    </w:p>
    <w:p w14:paraId="47CF1F15" w14:textId="77777777" w:rsidR="003F4E66" w:rsidRPr="009A10F6" w:rsidRDefault="003F4E66" w:rsidP="003F4E6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6"/>
          <w:szCs w:val="26"/>
          <w:lang w:val="pt-PT"/>
        </w:rPr>
      </w:pPr>
    </w:p>
    <w:p w14:paraId="6FE8320E" w14:textId="3BBFFE4A" w:rsidR="003F4E66" w:rsidRDefault="006D3F91" w:rsidP="003F4E66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b/>
          <w:color w:val="000000"/>
          <w:sz w:val="26"/>
          <w:szCs w:val="26"/>
          <w:lang w:val="pt-PT"/>
        </w:rPr>
        <w:t xml:space="preserve">Artigo </w:t>
      </w:r>
      <w:r w:rsidR="009B30F8">
        <w:rPr>
          <w:rFonts w:ascii="Times New Roman" w:hAnsi="Times New Roman"/>
          <w:b/>
          <w:color w:val="000000"/>
          <w:sz w:val="26"/>
          <w:szCs w:val="26"/>
          <w:lang w:val="pt-PT"/>
        </w:rPr>
        <w:t>19</w:t>
      </w:r>
    </w:p>
    <w:p w14:paraId="39D54397" w14:textId="77777777" w:rsidR="002E2810" w:rsidRDefault="004E7767" w:rsidP="003F4E66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b/>
          <w:color w:val="000000"/>
          <w:sz w:val="26"/>
          <w:szCs w:val="26"/>
          <w:lang w:val="pt-PT"/>
        </w:rPr>
        <w:t>Cláusulas mínimas do c</w:t>
      </w:r>
      <w:r w:rsidR="002E2810">
        <w:rPr>
          <w:rFonts w:ascii="Times New Roman" w:hAnsi="Times New Roman"/>
          <w:b/>
          <w:color w:val="000000"/>
          <w:sz w:val="26"/>
          <w:szCs w:val="26"/>
          <w:lang w:val="pt-PT"/>
        </w:rPr>
        <w:t>ontrato de abertura de conta bancária</w:t>
      </w:r>
    </w:p>
    <w:p w14:paraId="458EBF1D" w14:textId="77777777" w:rsidR="002E2810" w:rsidRDefault="003A2AFC" w:rsidP="007C5BBA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O contrato de abertura de conta bancária deve conter, no mínimo, as seguintes cláusulas:</w:t>
      </w:r>
    </w:p>
    <w:p w14:paraId="10468B69" w14:textId="77777777" w:rsidR="003A2AFC" w:rsidRDefault="003A2AFC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Identificação das partes;</w:t>
      </w:r>
    </w:p>
    <w:p w14:paraId="7D5F06BE" w14:textId="77777777" w:rsidR="003A2AFC" w:rsidRDefault="003A2AFC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Objecto do contrato e serviços disponibilizados;</w:t>
      </w:r>
    </w:p>
    <w:p w14:paraId="4192B1CA" w14:textId="77777777" w:rsidR="003A2AFC" w:rsidRDefault="003A2AFC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Modalidades de contas bancárias;</w:t>
      </w:r>
    </w:p>
    <w:p w14:paraId="33BB7B82" w14:textId="77777777" w:rsidR="003A2AFC" w:rsidRDefault="003A2AFC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 xml:space="preserve">Regras sobre movimentação e encerramento; </w:t>
      </w:r>
    </w:p>
    <w:p w14:paraId="3A7DFDFF" w14:textId="298BAD73" w:rsidR="003A2AFC" w:rsidRDefault="003A2AFC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 xml:space="preserve"> comissões, </w:t>
      </w:r>
      <w:r w:rsidR="00C441FB">
        <w:rPr>
          <w:rFonts w:ascii="Times New Roman" w:hAnsi="Times New Roman"/>
          <w:color w:val="000000"/>
          <w:sz w:val="26"/>
          <w:szCs w:val="26"/>
          <w:lang w:val="pt-PT"/>
        </w:rPr>
        <w:t xml:space="preserve">encargos e </w:t>
      </w:r>
      <w:r>
        <w:rPr>
          <w:rFonts w:ascii="Times New Roman" w:hAnsi="Times New Roman"/>
          <w:color w:val="000000"/>
          <w:sz w:val="26"/>
          <w:szCs w:val="26"/>
          <w:lang w:val="pt-PT"/>
        </w:rPr>
        <w:t xml:space="preserve">taxas </w:t>
      </w:r>
      <w:r w:rsidR="00C441FB">
        <w:rPr>
          <w:rFonts w:ascii="Times New Roman" w:hAnsi="Times New Roman"/>
          <w:color w:val="000000"/>
          <w:sz w:val="26"/>
          <w:szCs w:val="26"/>
          <w:lang w:val="pt-PT"/>
        </w:rPr>
        <w:t>d</w:t>
      </w:r>
      <w:r>
        <w:rPr>
          <w:rFonts w:ascii="Times New Roman" w:hAnsi="Times New Roman"/>
          <w:color w:val="000000"/>
          <w:sz w:val="26"/>
          <w:szCs w:val="26"/>
          <w:lang w:val="pt-PT"/>
        </w:rPr>
        <w:t>e juros;</w:t>
      </w:r>
    </w:p>
    <w:p w14:paraId="0E85FC54" w14:textId="514CA961" w:rsidR="003A2AFC" w:rsidRDefault="003A2AFC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Regras sobre convenção de cheques</w:t>
      </w:r>
      <w:r w:rsidR="00C441FB">
        <w:rPr>
          <w:rFonts w:ascii="Times New Roman" w:hAnsi="Times New Roman"/>
          <w:color w:val="000000"/>
          <w:sz w:val="26"/>
          <w:szCs w:val="26"/>
          <w:lang w:val="pt-PT"/>
        </w:rPr>
        <w:t>, quando aplicável</w:t>
      </w:r>
      <w:r>
        <w:rPr>
          <w:rFonts w:ascii="Times New Roman" w:hAnsi="Times New Roman"/>
          <w:color w:val="000000"/>
          <w:sz w:val="26"/>
          <w:szCs w:val="26"/>
          <w:lang w:val="pt-PT"/>
        </w:rPr>
        <w:t>;</w:t>
      </w:r>
    </w:p>
    <w:p w14:paraId="452DCA14" w14:textId="481F4EFA" w:rsidR="003A2AFC" w:rsidRDefault="003A2AFC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Regras sobre serviços e instrumentos de pagamento;</w:t>
      </w:r>
    </w:p>
    <w:p w14:paraId="08AE3783" w14:textId="77777777" w:rsidR="003A2AFC" w:rsidRDefault="003A2AFC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Procedimentos sobre reclamações;</w:t>
      </w:r>
    </w:p>
    <w:p w14:paraId="1E9452B1" w14:textId="77777777" w:rsidR="003A2AFC" w:rsidRDefault="003A2AFC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Informação sobre o Fundo de Garantia de Depósitos;</w:t>
      </w:r>
    </w:p>
    <w:p w14:paraId="3B350952" w14:textId="1F62DA29" w:rsidR="003A2AFC" w:rsidRDefault="007C5BBA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Mecanismos de comunicação entre as partes contratantes;</w:t>
      </w:r>
    </w:p>
    <w:p w14:paraId="2E582040" w14:textId="415E1225" w:rsidR="0070008E" w:rsidRDefault="0070008E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Tratamento de dados pessoais;</w:t>
      </w:r>
    </w:p>
    <w:p w14:paraId="7CB37164" w14:textId="77777777" w:rsidR="007C5BBA" w:rsidRDefault="007C5BBA" w:rsidP="003A2AFC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Regras sobre resolução de litígios e cessação do contrato.</w:t>
      </w:r>
    </w:p>
    <w:p w14:paraId="0B120B08" w14:textId="77777777" w:rsidR="007C5BBA" w:rsidRDefault="007C5BBA" w:rsidP="007C5BBA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color w:val="000000"/>
          <w:sz w:val="26"/>
          <w:szCs w:val="26"/>
          <w:lang w:val="pt-PT"/>
        </w:rPr>
        <w:t>O disposto no número anterior é aplicável, também, para a conta bancária básica ou simplificada.</w:t>
      </w:r>
    </w:p>
    <w:p w14:paraId="4E3DF591" w14:textId="77777777" w:rsidR="007C5BBA" w:rsidRDefault="007C5BBA" w:rsidP="007C5BBA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</w:p>
    <w:p w14:paraId="3A029657" w14:textId="4F8B34EC" w:rsidR="007C5BBA" w:rsidRPr="007C5BBA" w:rsidRDefault="007C5BBA" w:rsidP="007C5BBA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 w:rsidRPr="007C5BBA">
        <w:rPr>
          <w:rFonts w:ascii="Times New Roman" w:hAnsi="Times New Roman"/>
          <w:b/>
          <w:color w:val="000000"/>
          <w:sz w:val="26"/>
          <w:szCs w:val="26"/>
          <w:lang w:val="pt-PT"/>
        </w:rPr>
        <w:t>Artigo 2</w:t>
      </w:r>
      <w:r w:rsidR="009B30F8">
        <w:rPr>
          <w:rFonts w:ascii="Times New Roman" w:hAnsi="Times New Roman"/>
          <w:b/>
          <w:color w:val="000000"/>
          <w:sz w:val="26"/>
          <w:szCs w:val="26"/>
          <w:lang w:val="pt-PT"/>
        </w:rPr>
        <w:t>0</w:t>
      </w:r>
    </w:p>
    <w:p w14:paraId="104E5935" w14:textId="77777777" w:rsidR="003F4E66" w:rsidRPr="009A10F6" w:rsidRDefault="003F4E66" w:rsidP="003F4E66">
      <w:pPr>
        <w:pStyle w:val="NoSpacing"/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b/>
          <w:bCs/>
          <w:color w:val="000000"/>
          <w:sz w:val="26"/>
          <w:szCs w:val="26"/>
          <w:lang w:val="pt-PT"/>
        </w:rPr>
        <w:t>Elementos do contrato de depósito</w:t>
      </w:r>
    </w:p>
    <w:p w14:paraId="28C0F250" w14:textId="3CC479A1" w:rsidR="003F4E66" w:rsidRPr="009A10F6" w:rsidRDefault="0070008E" w:rsidP="003F4E6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43AE">
        <w:rPr>
          <w:rFonts w:ascii="Times New Roman" w:hAnsi="Times New Roman"/>
          <w:color w:val="000000"/>
          <w:sz w:val="26"/>
          <w:szCs w:val="26"/>
        </w:rPr>
        <w:t>O</w:t>
      </w:r>
      <w:r w:rsidR="003F4E66" w:rsidRPr="009A10F6">
        <w:rPr>
          <w:rFonts w:ascii="Times New Roman" w:hAnsi="Times New Roman"/>
          <w:color w:val="000000"/>
          <w:sz w:val="26"/>
          <w:szCs w:val="26"/>
        </w:rPr>
        <w:t>s contratos de depósito devem especificar os elementos informativos constantes da ficha de informação normalizada aplicáveis, com excepção dos elementos relativos a descobertos e à evolução histórica do respectivo indexante, no caso de depósitos remunerados à taxa variável.</w:t>
      </w:r>
    </w:p>
    <w:p w14:paraId="0D1CB96A" w14:textId="1998F825" w:rsidR="003F4E66" w:rsidRPr="009A10F6" w:rsidRDefault="003F4E66" w:rsidP="003F4E6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A subscrição, por parte do cliente, de um descoberto associado a uma conta de depósito à ordem deve ser através da aposição da respectiva assinatura em documento separado e exclusivo para esse efeito e deve estabelecer as condições e os limites aplicáveis.</w:t>
      </w:r>
    </w:p>
    <w:p w14:paraId="2201BC86" w14:textId="1C745F3D" w:rsidR="003F4E66" w:rsidRPr="009A10F6" w:rsidRDefault="003F4E66" w:rsidP="003F4E6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lastRenderedPageBreak/>
        <w:t>A instituição de crédito deve disponibilizar ao cliente cópia do contrato e uma cópia do documento previsto no n</w:t>
      </w:r>
      <w:r w:rsidR="00895E2B">
        <w:rPr>
          <w:rFonts w:ascii="Times New Roman" w:hAnsi="Times New Roman"/>
          <w:color w:val="000000"/>
          <w:sz w:val="26"/>
          <w:szCs w:val="26"/>
        </w:rPr>
        <w:t>úmero</w:t>
      </w:r>
      <w:r w:rsidRPr="009A10F6">
        <w:rPr>
          <w:rFonts w:ascii="Times New Roman" w:hAnsi="Times New Roman"/>
          <w:color w:val="000000"/>
          <w:sz w:val="26"/>
          <w:szCs w:val="26"/>
        </w:rPr>
        <w:t xml:space="preserve"> 2 do presente artigo.</w:t>
      </w:r>
    </w:p>
    <w:p w14:paraId="37AA302E" w14:textId="377658B0" w:rsidR="003F4E66" w:rsidRPr="009A10F6" w:rsidRDefault="003F4E66" w:rsidP="003F4E6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 xml:space="preserve">A instituição de crédito deve </w:t>
      </w:r>
      <w:r w:rsidR="007C67DE">
        <w:rPr>
          <w:rFonts w:ascii="Times New Roman" w:hAnsi="Times New Roman"/>
          <w:color w:val="000000"/>
          <w:sz w:val="26"/>
          <w:szCs w:val="26"/>
        </w:rPr>
        <w:t xml:space="preserve">permitir </w:t>
      </w:r>
      <w:r w:rsidRPr="009A10F6">
        <w:rPr>
          <w:rFonts w:ascii="Times New Roman" w:hAnsi="Times New Roman"/>
          <w:color w:val="000000"/>
          <w:sz w:val="26"/>
          <w:szCs w:val="26"/>
        </w:rPr>
        <w:t>ao cliente, sempre que este solicite, o acesso às respectivas condições contratuais.</w:t>
      </w:r>
    </w:p>
    <w:p w14:paraId="170723D7" w14:textId="77777777" w:rsidR="003F4E66" w:rsidRPr="009A10F6" w:rsidRDefault="003F4E66" w:rsidP="003F4E66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</w:p>
    <w:p w14:paraId="07F69B64" w14:textId="2A7A2BFC" w:rsidR="003F4E66" w:rsidRPr="0023710B" w:rsidRDefault="00C27AE1" w:rsidP="003F4E66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PT"/>
        </w:rPr>
      </w:pPr>
      <w:r w:rsidRPr="0023710B">
        <w:rPr>
          <w:rFonts w:ascii="Times New Roman" w:hAnsi="Times New Roman"/>
          <w:b/>
          <w:sz w:val="26"/>
          <w:szCs w:val="26"/>
          <w:lang w:val="pt-PT"/>
        </w:rPr>
        <w:t>Artigo 2</w:t>
      </w:r>
      <w:r w:rsidR="009B30F8">
        <w:rPr>
          <w:rFonts w:ascii="Times New Roman" w:hAnsi="Times New Roman"/>
          <w:b/>
          <w:sz w:val="26"/>
          <w:szCs w:val="26"/>
          <w:lang w:val="pt-PT"/>
        </w:rPr>
        <w:t>1</w:t>
      </w:r>
    </w:p>
    <w:p w14:paraId="1AB40C38" w14:textId="77777777" w:rsidR="003F4E66" w:rsidRPr="0023710B" w:rsidRDefault="003F4E66" w:rsidP="003F4E66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t-PT"/>
        </w:rPr>
      </w:pPr>
      <w:r w:rsidRPr="0023710B">
        <w:rPr>
          <w:rFonts w:ascii="Times New Roman" w:hAnsi="Times New Roman"/>
          <w:b/>
          <w:bCs/>
          <w:sz w:val="26"/>
          <w:szCs w:val="26"/>
          <w:lang w:val="pt-PT"/>
        </w:rPr>
        <w:t xml:space="preserve">Extracto e informações complementares </w:t>
      </w:r>
    </w:p>
    <w:p w14:paraId="08457F5D" w14:textId="0B46E90C" w:rsidR="003F4E66" w:rsidRPr="009A10F6" w:rsidRDefault="003F4E66" w:rsidP="003F4E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A instituição de crédito deve prestar aos clientes, em língua portuguesa</w:t>
      </w:r>
      <w:r w:rsidR="007C67DE">
        <w:rPr>
          <w:rFonts w:ascii="Times New Roman" w:hAnsi="Times New Roman"/>
          <w:color w:val="000000"/>
          <w:sz w:val="26"/>
          <w:szCs w:val="26"/>
        </w:rPr>
        <w:t>,</w:t>
      </w:r>
      <w:r w:rsidRPr="009A10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67D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9A10F6">
        <w:rPr>
          <w:rFonts w:ascii="Times New Roman" w:hAnsi="Times New Roman"/>
          <w:color w:val="000000"/>
          <w:sz w:val="26"/>
          <w:szCs w:val="26"/>
        </w:rPr>
        <w:t xml:space="preserve">informação relativa </w:t>
      </w:r>
      <w:r w:rsidR="007C67DE">
        <w:rPr>
          <w:rFonts w:ascii="Times New Roman" w:hAnsi="Times New Roman"/>
          <w:color w:val="000000"/>
          <w:sz w:val="26"/>
          <w:szCs w:val="26"/>
        </w:rPr>
        <w:t>a</w:t>
      </w:r>
      <w:r w:rsidRPr="009A10F6">
        <w:rPr>
          <w:rFonts w:ascii="Times New Roman" w:hAnsi="Times New Roman"/>
          <w:color w:val="000000"/>
          <w:sz w:val="26"/>
          <w:szCs w:val="26"/>
        </w:rPr>
        <w:t>os movimentos a débito e a crédito efectuados nas suas contas de depósito, através da disponibilização de extracto que inclui, no mínimo, os seguintes elementos:</w:t>
      </w:r>
    </w:p>
    <w:p w14:paraId="6D33BD0B" w14:textId="77777777" w:rsidR="003F4E66" w:rsidRPr="009A10F6" w:rsidRDefault="003F4E66" w:rsidP="003F4E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Data do início e fim do período das informações prestadas;</w:t>
      </w:r>
    </w:p>
    <w:p w14:paraId="74E839EA" w14:textId="77777777" w:rsidR="003F4E66" w:rsidRPr="009A10F6" w:rsidRDefault="003F4E66" w:rsidP="003F4E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Data dos movimentos;</w:t>
      </w:r>
    </w:p>
    <w:p w14:paraId="0C02CE02" w14:textId="77777777" w:rsidR="003F4E66" w:rsidRPr="009A10F6" w:rsidRDefault="003F4E66" w:rsidP="003F4E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Data-valor dos movimentos;</w:t>
      </w:r>
    </w:p>
    <w:p w14:paraId="62A5C9EA" w14:textId="77777777" w:rsidR="003F4E66" w:rsidRPr="009A10F6" w:rsidRDefault="003F4E66" w:rsidP="003F4E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Descrição que permita a identificação da operação a que se referem os movimentos;</w:t>
      </w:r>
    </w:p>
    <w:p w14:paraId="0D3FEFC6" w14:textId="77777777" w:rsidR="003F4E66" w:rsidRPr="009A10F6" w:rsidRDefault="003F4E66" w:rsidP="003F4E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Montantes, explicitando se os mesmos consubstanciam movimentos a crédito ou a débito;</w:t>
      </w:r>
    </w:p>
    <w:p w14:paraId="68DE49A2" w14:textId="77777777" w:rsidR="003F4E66" w:rsidRPr="009A10F6" w:rsidRDefault="003F4E66" w:rsidP="003F4E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Moeda;</w:t>
      </w:r>
    </w:p>
    <w:p w14:paraId="32BBA95D" w14:textId="77777777" w:rsidR="003F4E66" w:rsidRPr="009A10F6" w:rsidRDefault="003F4E66" w:rsidP="003F4E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 xml:space="preserve">Saldos contabilísticos resultantes de movimentos efectuados; </w:t>
      </w:r>
    </w:p>
    <w:p w14:paraId="645D22A2" w14:textId="77777777" w:rsidR="003F4E66" w:rsidRPr="009A10F6" w:rsidRDefault="003F4E66" w:rsidP="003F4E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Saldo disponível no final do período a que se refere o extracto, no caso de se tratar de depósito à ordem.</w:t>
      </w:r>
    </w:p>
    <w:p w14:paraId="6406967D" w14:textId="4053477C" w:rsidR="003F4E66" w:rsidRPr="009A10F6" w:rsidRDefault="003F4E66" w:rsidP="003F4E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Relativamente ao vencimento de juros associados a contas com depósitos ou à cobrança de comissões ou despesas associadas a contas de depósito, a instituição de crédito deve disponibilizar aos seus clientes, juntamente com o extracto ou noutro documento, as seguintes informações complementares ao extracto:</w:t>
      </w:r>
    </w:p>
    <w:p w14:paraId="6BC819FE" w14:textId="77777777" w:rsidR="003F4E66" w:rsidRPr="009A10F6" w:rsidRDefault="003F4E66" w:rsidP="003F4E6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No caso de vencimento de juros remuneratórios:</w:t>
      </w:r>
    </w:p>
    <w:p w14:paraId="769A0448" w14:textId="77777777" w:rsidR="003F4E66" w:rsidRPr="009A10F6" w:rsidRDefault="003F4E66" w:rsidP="003F4E6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Data do início e fim do período a que respeitam;</w:t>
      </w:r>
    </w:p>
    <w:p w14:paraId="0DA32449" w14:textId="77777777" w:rsidR="003F4E66" w:rsidRPr="009A10F6" w:rsidRDefault="003F4E66" w:rsidP="003F4E6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Data-valor do pagamento;</w:t>
      </w:r>
    </w:p>
    <w:p w14:paraId="46B3CE2D" w14:textId="77777777" w:rsidR="003F4E66" w:rsidRPr="009A10F6" w:rsidRDefault="003F4E66" w:rsidP="003F4E6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Montante dos juros vencidos;</w:t>
      </w:r>
    </w:p>
    <w:p w14:paraId="7AF95D06" w14:textId="77777777" w:rsidR="003F4E66" w:rsidRPr="009A10F6" w:rsidRDefault="003F4E66" w:rsidP="003F4E6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TANB aplicada ou, quando sejam aplicadas diferentes taxas por escalão, indicação da taxa média ponderada;</w:t>
      </w:r>
    </w:p>
    <w:p w14:paraId="4B72B6B9" w14:textId="77777777" w:rsidR="003F4E66" w:rsidRPr="009A10F6" w:rsidRDefault="003F4E66" w:rsidP="003F4E6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lastRenderedPageBreak/>
        <w:t>Montante ou saldo médio utilizado para o cálculo;</w:t>
      </w:r>
    </w:p>
    <w:p w14:paraId="0AD8C7AE" w14:textId="77777777" w:rsidR="003F4E66" w:rsidRPr="009A10F6" w:rsidRDefault="003F4E66" w:rsidP="003F4E6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 xml:space="preserve">Impostos retidos; </w:t>
      </w:r>
    </w:p>
    <w:p w14:paraId="397103FA" w14:textId="77777777" w:rsidR="003F4E66" w:rsidRPr="009A10F6" w:rsidRDefault="003F4E66" w:rsidP="003F4E6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Forma de pagamento, caso os juros não sejam creditados na própria conta.</w:t>
      </w:r>
    </w:p>
    <w:p w14:paraId="3FB25647" w14:textId="23C83B5B" w:rsidR="003F4E66" w:rsidRPr="009A10F6" w:rsidRDefault="003F4E66" w:rsidP="003F4E6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No caso de cobrança de juros relativos a descoberto associados a uma conta de depósito à ordem:</w:t>
      </w:r>
    </w:p>
    <w:p w14:paraId="37A4AE12" w14:textId="77777777" w:rsidR="003F4E66" w:rsidRPr="009A10F6" w:rsidRDefault="003F4E66" w:rsidP="003F4E6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Data do início e fim do período a que respeitam;</w:t>
      </w:r>
    </w:p>
    <w:p w14:paraId="43B6BEEE" w14:textId="77777777" w:rsidR="003F4E66" w:rsidRPr="009A10F6" w:rsidRDefault="003F4E66" w:rsidP="003F4E6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Data de cobrança;</w:t>
      </w:r>
    </w:p>
    <w:p w14:paraId="54C79ADC" w14:textId="77777777" w:rsidR="003F4E66" w:rsidRPr="009A10F6" w:rsidRDefault="003F4E66" w:rsidP="003F4E6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Montante dos juros cobrados;</w:t>
      </w:r>
    </w:p>
    <w:p w14:paraId="088CC111" w14:textId="77777777" w:rsidR="003F4E66" w:rsidRPr="009A10F6" w:rsidRDefault="003F4E66" w:rsidP="003F4E6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Taxa anual nominal aplicada;</w:t>
      </w:r>
    </w:p>
    <w:p w14:paraId="1AD7662C" w14:textId="77777777" w:rsidR="003F4E66" w:rsidRPr="009A10F6" w:rsidRDefault="003F4E66" w:rsidP="003F4E6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 xml:space="preserve">Montantes a descoberto e datas da utilização; </w:t>
      </w:r>
    </w:p>
    <w:p w14:paraId="547753EA" w14:textId="77777777" w:rsidR="003F4E66" w:rsidRPr="009A10F6" w:rsidRDefault="003F4E66" w:rsidP="003F4E6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Impostos retidos.</w:t>
      </w:r>
    </w:p>
    <w:p w14:paraId="00DB1F1D" w14:textId="77777777" w:rsidR="003F4E66" w:rsidRPr="009A10F6" w:rsidRDefault="003F4E66" w:rsidP="003F4E6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No caso de cobrança de comissões ou encargos:</w:t>
      </w:r>
    </w:p>
    <w:p w14:paraId="71454C9C" w14:textId="77777777" w:rsidR="003F4E66" w:rsidRPr="009A10F6" w:rsidRDefault="003F4E66" w:rsidP="003F4E6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Data do início e fim do período a que respeitam;</w:t>
      </w:r>
    </w:p>
    <w:p w14:paraId="0A98FBE8" w14:textId="77777777" w:rsidR="003F4E66" w:rsidRPr="009A10F6" w:rsidRDefault="003F4E66" w:rsidP="003F4E6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Identificação da comissão ou encargo cobrado;</w:t>
      </w:r>
    </w:p>
    <w:p w14:paraId="2A049C45" w14:textId="77777777" w:rsidR="003F4E66" w:rsidRPr="009A10F6" w:rsidRDefault="003F4E66" w:rsidP="003F4E6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Data de cobrança;</w:t>
      </w:r>
    </w:p>
    <w:p w14:paraId="0DEBC442" w14:textId="77777777" w:rsidR="003F4E66" w:rsidRPr="009A10F6" w:rsidRDefault="003F4E66" w:rsidP="003F4E6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Montante das comissões ou encargos cobrados;</w:t>
      </w:r>
    </w:p>
    <w:p w14:paraId="28D4CC81" w14:textId="77777777" w:rsidR="003F4E66" w:rsidRPr="009A10F6" w:rsidRDefault="003F4E66" w:rsidP="003F4E6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 xml:space="preserve">Impostos retidos; </w:t>
      </w:r>
    </w:p>
    <w:p w14:paraId="06B63101" w14:textId="77777777" w:rsidR="003F4E66" w:rsidRPr="009A10F6" w:rsidRDefault="003F4E66" w:rsidP="003F4E6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 xml:space="preserve">Montante ou saldo médio utilizado na determinação do montante da comissão ou encargo ou indicação de outros </w:t>
      </w:r>
      <w:proofErr w:type="spellStart"/>
      <w:r w:rsidRPr="009A10F6">
        <w:rPr>
          <w:rFonts w:ascii="Times New Roman" w:hAnsi="Times New Roman"/>
          <w:color w:val="000000"/>
          <w:sz w:val="26"/>
          <w:szCs w:val="26"/>
        </w:rPr>
        <w:t>factores</w:t>
      </w:r>
      <w:proofErr w:type="spellEnd"/>
      <w:r w:rsidRPr="009A10F6">
        <w:rPr>
          <w:rFonts w:ascii="Times New Roman" w:hAnsi="Times New Roman"/>
          <w:color w:val="000000"/>
          <w:sz w:val="26"/>
          <w:szCs w:val="26"/>
        </w:rPr>
        <w:t xml:space="preserve"> utilizados na determinação do montante cobrado.</w:t>
      </w:r>
    </w:p>
    <w:p w14:paraId="15D97AB7" w14:textId="7D84F54E" w:rsidR="003F4E66" w:rsidRDefault="003F4E66" w:rsidP="003F4E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A10F6">
        <w:rPr>
          <w:rFonts w:ascii="Times New Roman" w:hAnsi="Times New Roman"/>
          <w:color w:val="000000"/>
          <w:sz w:val="26"/>
          <w:szCs w:val="26"/>
        </w:rPr>
        <w:t>No caso de descoberto de uma conta com depósito à ordem dar lugar à cobrança de juros de mora por parte da instituição de crédito, esta deve prestar, no extracto, as informações complementares indicadas nas alíneas a) a f) do número anterior.</w:t>
      </w:r>
    </w:p>
    <w:p w14:paraId="22E98938" w14:textId="223597E7" w:rsidR="007C67DE" w:rsidRPr="009A10F6" w:rsidRDefault="007C67DE" w:rsidP="003F4E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 informação referida nos números anterior</w:t>
      </w:r>
      <w:r w:rsidR="00FB5470">
        <w:rPr>
          <w:rFonts w:ascii="Times New Roman" w:hAnsi="Times New Roman"/>
          <w:color w:val="000000"/>
          <w:sz w:val="26"/>
          <w:szCs w:val="26"/>
        </w:rPr>
        <w:t>es</w:t>
      </w:r>
      <w:r>
        <w:rPr>
          <w:rFonts w:ascii="Times New Roman" w:hAnsi="Times New Roman"/>
          <w:color w:val="000000"/>
          <w:sz w:val="26"/>
          <w:szCs w:val="26"/>
        </w:rPr>
        <w:t>, pode ser concedida, em língua</w:t>
      </w:r>
      <w:r w:rsidRPr="009A10F6">
        <w:rPr>
          <w:rFonts w:ascii="Times New Roman" w:hAnsi="Times New Roman"/>
          <w:color w:val="000000"/>
          <w:sz w:val="26"/>
          <w:szCs w:val="26"/>
        </w:rPr>
        <w:t xml:space="preserve"> estrangeira, mediante acordo </w:t>
      </w:r>
      <w:r>
        <w:rPr>
          <w:rFonts w:ascii="Times New Roman" w:hAnsi="Times New Roman"/>
          <w:color w:val="000000"/>
          <w:sz w:val="26"/>
          <w:szCs w:val="26"/>
        </w:rPr>
        <w:t xml:space="preserve">escrito </w:t>
      </w:r>
      <w:r w:rsidRPr="009A10F6">
        <w:rPr>
          <w:rFonts w:ascii="Times New Roman" w:hAnsi="Times New Roman"/>
          <w:color w:val="000000"/>
          <w:sz w:val="26"/>
          <w:szCs w:val="26"/>
        </w:rPr>
        <w:t>com o cliente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3458B48" w14:textId="77777777" w:rsidR="003F4E66" w:rsidRPr="009A10F6" w:rsidRDefault="003F4E66" w:rsidP="003F4E6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2DFD29F7" w14:textId="2BF62BC1" w:rsidR="003F4E66" w:rsidRPr="009A10F6" w:rsidRDefault="00C27AE1" w:rsidP="003F4E66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b/>
          <w:color w:val="000000"/>
          <w:sz w:val="26"/>
          <w:szCs w:val="26"/>
          <w:lang w:val="pt-PT"/>
        </w:rPr>
        <w:t>Artigo 2</w:t>
      </w:r>
      <w:r w:rsidR="009B30F8">
        <w:rPr>
          <w:rFonts w:ascii="Times New Roman" w:hAnsi="Times New Roman"/>
          <w:b/>
          <w:color w:val="000000"/>
          <w:sz w:val="26"/>
          <w:szCs w:val="26"/>
          <w:lang w:val="pt-PT"/>
        </w:rPr>
        <w:t>2</w:t>
      </w:r>
    </w:p>
    <w:p w14:paraId="643FB648" w14:textId="77777777" w:rsidR="003F4E66" w:rsidRPr="009A10F6" w:rsidRDefault="003F4E66" w:rsidP="003F4E66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b/>
          <w:color w:val="000000"/>
          <w:sz w:val="26"/>
          <w:szCs w:val="26"/>
          <w:lang w:val="pt-PT"/>
        </w:rPr>
        <w:t xml:space="preserve">Periodicidade de prestação de informação </w:t>
      </w:r>
    </w:p>
    <w:p w14:paraId="7B40C1EB" w14:textId="7FC04EBA" w:rsidR="003F4E66" w:rsidRPr="009A10F6" w:rsidRDefault="003F4E66" w:rsidP="003F4E66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>Na conta com depósito à ordem, a informação referida no n</w:t>
      </w:r>
      <w:r w:rsidR="00FB5470">
        <w:rPr>
          <w:rFonts w:ascii="Times New Roman" w:hAnsi="Times New Roman"/>
          <w:color w:val="000000"/>
          <w:sz w:val="26"/>
          <w:szCs w:val="26"/>
          <w:lang w:val="pt-PT"/>
        </w:rPr>
        <w:t>úmero</w:t>
      </w: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 xml:space="preserve"> 1 do artigo anterior deve ser disponibilizada:</w:t>
      </w:r>
    </w:p>
    <w:p w14:paraId="7E5C456F" w14:textId="77777777" w:rsidR="003F4E66" w:rsidRPr="009A10F6" w:rsidRDefault="003F4E66" w:rsidP="003F4E66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lastRenderedPageBreak/>
        <w:t>Com uma periodicidade mínima mensal, se tiver ocorrido pelo menos um movimento no mês em causa;</w:t>
      </w:r>
    </w:p>
    <w:p w14:paraId="34E0B746" w14:textId="77777777" w:rsidR="003F4E66" w:rsidRPr="009A10F6" w:rsidRDefault="003F4E66" w:rsidP="003F4E66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 xml:space="preserve">Com uma periodicidade mínima anual, se não tiverem ocorrido movimentos.  </w:t>
      </w:r>
    </w:p>
    <w:p w14:paraId="2BE3CD53" w14:textId="77777777" w:rsidR="003F4E66" w:rsidRPr="009A10F6" w:rsidRDefault="003F4E66" w:rsidP="003F4E66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 xml:space="preserve">Na conta com depósitos a prazo, depósitos com pré-aviso e </w:t>
      </w:r>
      <w:r w:rsidRPr="009A10F6">
        <w:rPr>
          <w:rFonts w:ascii="Times New Roman" w:hAnsi="Times New Roman"/>
          <w:sz w:val="26"/>
          <w:szCs w:val="26"/>
          <w:lang w:val="pt-PT"/>
        </w:rPr>
        <w:t>depósitos a prazo sem mobilização antecipada, a</w:t>
      </w: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 xml:space="preserve"> informação referida no número 1 do artigo anterior deve ser disponibilizada: </w:t>
      </w:r>
    </w:p>
    <w:p w14:paraId="5D48BB46" w14:textId="77777777" w:rsidR="003F4E66" w:rsidRPr="009A10F6" w:rsidRDefault="003F4E66" w:rsidP="003F4E66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>Com uma periodicidade mínima anual, sempre que o prazo de vencimento seja superior a 1 ano;</w:t>
      </w:r>
    </w:p>
    <w:p w14:paraId="4A454944" w14:textId="0DF5C516" w:rsidR="003F4E66" w:rsidRPr="009A10F6" w:rsidRDefault="003F4E66" w:rsidP="003F4E66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 xml:space="preserve">Com uma periodicidade mínima mensal, sempre que o prazo de vencimento seja igual ou </w:t>
      </w:r>
      <w:r w:rsidR="00B54804">
        <w:rPr>
          <w:rFonts w:ascii="Times New Roman" w:hAnsi="Times New Roman"/>
          <w:color w:val="000000"/>
          <w:sz w:val="26"/>
          <w:szCs w:val="26"/>
          <w:lang w:val="pt-PT"/>
        </w:rPr>
        <w:t xml:space="preserve">inferior </w:t>
      </w: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>a 1 ano.</w:t>
      </w:r>
    </w:p>
    <w:p w14:paraId="5F189190" w14:textId="77777777" w:rsidR="003F4E66" w:rsidRPr="009A10F6" w:rsidRDefault="003F4E66" w:rsidP="003F4E66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color w:val="000000"/>
          <w:sz w:val="26"/>
          <w:szCs w:val="26"/>
          <w:lang w:val="pt-PT"/>
        </w:rPr>
        <w:t>A informação prevista nos números 2 e 3 do artigo anterior deve ser fornecida sempre que se verificarem movimentos.</w:t>
      </w:r>
    </w:p>
    <w:p w14:paraId="0E6A16CB" w14:textId="14F8B40F" w:rsidR="003F4E66" w:rsidRPr="009A10F6" w:rsidRDefault="00C27AE1" w:rsidP="003F4E66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pt-PT"/>
        </w:rPr>
      </w:pPr>
      <w:r>
        <w:rPr>
          <w:rFonts w:ascii="Times New Roman" w:hAnsi="Times New Roman"/>
          <w:b/>
          <w:color w:val="000000"/>
          <w:sz w:val="26"/>
          <w:szCs w:val="26"/>
          <w:lang w:val="pt-PT"/>
        </w:rPr>
        <w:t>Artigo 2</w:t>
      </w:r>
      <w:r w:rsidR="009B30F8">
        <w:rPr>
          <w:rFonts w:ascii="Times New Roman" w:hAnsi="Times New Roman"/>
          <w:b/>
          <w:color w:val="000000"/>
          <w:sz w:val="26"/>
          <w:szCs w:val="26"/>
          <w:lang w:val="pt-PT"/>
        </w:rPr>
        <w:t>3</w:t>
      </w:r>
    </w:p>
    <w:p w14:paraId="16F92325" w14:textId="77777777" w:rsidR="003F4E66" w:rsidRPr="009A10F6" w:rsidRDefault="003F4E66" w:rsidP="003F4E66">
      <w:pPr>
        <w:pStyle w:val="NoSpacing"/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/>
          <w:b/>
          <w:bCs/>
          <w:color w:val="000000"/>
          <w:sz w:val="26"/>
          <w:szCs w:val="26"/>
          <w:lang w:val="pt-PT"/>
        </w:rPr>
        <w:t>Cumprimento do dever de informação</w:t>
      </w:r>
    </w:p>
    <w:p w14:paraId="6EC5FB29" w14:textId="0380D698" w:rsidR="003F4E66" w:rsidRPr="009A10F6" w:rsidRDefault="003F4E66" w:rsidP="003F4E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color w:val="000000"/>
          <w:sz w:val="26"/>
          <w:szCs w:val="26"/>
          <w:lang w:val="pt-PT"/>
        </w:rPr>
        <w:t xml:space="preserve">A instituição de crédito deve prestar informação </w:t>
      </w:r>
      <w:r w:rsidR="00FB5470">
        <w:rPr>
          <w:rFonts w:ascii="Times New Roman" w:hAnsi="Times New Roman" w:cs="Times New Roman"/>
          <w:color w:val="000000"/>
          <w:sz w:val="26"/>
          <w:szCs w:val="26"/>
          <w:lang w:val="pt-PT"/>
        </w:rPr>
        <w:t>pelos meios legalmente permitidos,</w:t>
      </w:r>
      <w:r w:rsidRPr="009A10F6">
        <w:rPr>
          <w:rFonts w:ascii="Times New Roman" w:hAnsi="Times New Roman" w:cs="Times New Roman"/>
          <w:color w:val="000000"/>
          <w:sz w:val="26"/>
          <w:szCs w:val="26"/>
          <w:lang w:val="pt-PT"/>
        </w:rPr>
        <w:t xml:space="preserve"> em papel, por correio electrónico ou em qualquer suporte duradouro, de acordo com a vontade expressa do cliente quanto ao suporte pretendido.</w:t>
      </w:r>
    </w:p>
    <w:p w14:paraId="3C4140FE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2E6715BC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CAPÍTULO IV</w:t>
      </w:r>
    </w:p>
    <w:p w14:paraId="43B98F62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DISPOSIÇÕES TRANSITÓRIAS E FINAIS</w:t>
      </w:r>
    </w:p>
    <w:p w14:paraId="40BE8462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67E97F03" w14:textId="0750CA7C" w:rsidR="00A503D2" w:rsidRPr="009A10F6" w:rsidRDefault="00C27AE1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Artigo 2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4</w:t>
      </w:r>
    </w:p>
    <w:p w14:paraId="03BA8703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Período de adequação</w:t>
      </w:r>
    </w:p>
    <w:p w14:paraId="25DA274D" w14:textId="230DE782" w:rsidR="00A503D2" w:rsidRPr="009A10F6" w:rsidRDefault="00A503D2" w:rsidP="00A503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As entidades abrangidas pelo presente </w:t>
      </w:r>
      <w:r w:rsidR="00454E3B">
        <w:rPr>
          <w:rFonts w:ascii="Times New Roman" w:hAnsi="Times New Roman" w:cs="Times New Roman"/>
          <w:sz w:val="26"/>
          <w:szCs w:val="26"/>
          <w:lang w:val="pt-PT"/>
        </w:rPr>
        <w:t>Regulamento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 devem ajustar-se ao mesmo, no prazo de </w:t>
      </w:r>
      <w:r w:rsidR="00FA5C07">
        <w:rPr>
          <w:rFonts w:ascii="Times New Roman" w:hAnsi="Times New Roman" w:cs="Times New Roman"/>
          <w:sz w:val="26"/>
          <w:szCs w:val="26"/>
          <w:lang w:val="pt-PT"/>
        </w:rPr>
        <w:t>sessenta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 dias, a contar da data da sua entrada em vigor.</w:t>
      </w:r>
    </w:p>
    <w:p w14:paraId="3D228B11" w14:textId="77777777" w:rsidR="00A503D2" w:rsidRPr="009A10F6" w:rsidRDefault="00A503D2" w:rsidP="00A503D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02EB2403" w14:textId="7AAC082E" w:rsidR="00A503D2" w:rsidRPr="009A10F6" w:rsidRDefault="00C27AE1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Artigo 2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5</w:t>
      </w:r>
    </w:p>
    <w:p w14:paraId="11D12CEF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Regime sancionatório</w:t>
      </w:r>
    </w:p>
    <w:p w14:paraId="20B575E4" w14:textId="6674BB10" w:rsidR="00A503D2" w:rsidRPr="009A10F6" w:rsidRDefault="00A503D2" w:rsidP="00A503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A violação do disposto no presente </w:t>
      </w:r>
      <w:r w:rsidR="00454E3B">
        <w:rPr>
          <w:rFonts w:ascii="Times New Roman" w:hAnsi="Times New Roman" w:cs="Times New Roman"/>
          <w:sz w:val="26"/>
          <w:szCs w:val="26"/>
          <w:lang w:val="pt-PT"/>
        </w:rPr>
        <w:t>Regulamento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 constitui contravenção punível nos termos da Lei n.º 27/2022, de 29 de </w:t>
      </w:r>
      <w:proofErr w:type="gramStart"/>
      <w:r w:rsidRPr="009A10F6">
        <w:rPr>
          <w:rFonts w:ascii="Times New Roman" w:hAnsi="Times New Roman" w:cs="Times New Roman"/>
          <w:sz w:val="26"/>
          <w:szCs w:val="26"/>
          <w:lang w:val="pt-PT"/>
        </w:rPr>
        <w:t>Dezembro</w:t>
      </w:r>
      <w:proofErr w:type="gramEnd"/>
      <w:r w:rsidR="008D64C3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>Regime Jurídico de Contas Bancárias.</w:t>
      </w:r>
    </w:p>
    <w:p w14:paraId="6C78649F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61B91BD3" w14:textId="0263ED45" w:rsidR="00A503D2" w:rsidRPr="009A10F6" w:rsidRDefault="00C27AE1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lastRenderedPageBreak/>
        <w:t>Artigo 2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6</w:t>
      </w:r>
    </w:p>
    <w:p w14:paraId="156D556E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Revogação</w:t>
      </w:r>
    </w:p>
    <w:p w14:paraId="1E732665" w14:textId="6A2C06A3" w:rsidR="00A503D2" w:rsidRPr="009A10F6" w:rsidRDefault="00A503D2" w:rsidP="00A503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É revogado o </w:t>
      </w:r>
      <w:r w:rsidR="00454E3B">
        <w:rPr>
          <w:rFonts w:ascii="Times New Roman" w:hAnsi="Times New Roman" w:cs="Times New Roman"/>
          <w:sz w:val="26"/>
          <w:szCs w:val="26"/>
          <w:lang w:val="pt-PT"/>
        </w:rPr>
        <w:t xml:space="preserve">Aviso 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n.º 1/GBM/2019, de 1 de </w:t>
      </w:r>
      <w:proofErr w:type="gramStart"/>
      <w:r w:rsidRPr="009A10F6">
        <w:rPr>
          <w:rFonts w:ascii="Times New Roman" w:hAnsi="Times New Roman" w:cs="Times New Roman"/>
          <w:sz w:val="26"/>
          <w:szCs w:val="26"/>
          <w:lang w:val="pt-PT"/>
        </w:rPr>
        <w:t>Fevereiro</w:t>
      </w:r>
      <w:proofErr w:type="gramEnd"/>
      <w:r w:rsidR="008D64C3">
        <w:rPr>
          <w:rFonts w:ascii="Times New Roman" w:hAnsi="Times New Roman" w:cs="Times New Roman"/>
          <w:sz w:val="26"/>
          <w:szCs w:val="26"/>
          <w:lang w:val="pt-PT"/>
        </w:rPr>
        <w:t>,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 que aprova o Regulamento dos Deveres de Informação no Âmbito de Recepção de Depósitos.</w:t>
      </w:r>
    </w:p>
    <w:p w14:paraId="4294A478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5B7656C6" w14:textId="22BD2070" w:rsidR="00A503D2" w:rsidRDefault="00C27AE1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Artigo </w:t>
      </w:r>
      <w:r w:rsidR="009B30F8">
        <w:rPr>
          <w:rFonts w:ascii="Times New Roman" w:hAnsi="Times New Roman" w:cs="Times New Roman"/>
          <w:b/>
          <w:sz w:val="26"/>
          <w:szCs w:val="26"/>
          <w:lang w:val="pt-PT"/>
        </w:rPr>
        <w:t>27</w:t>
      </w:r>
    </w:p>
    <w:p w14:paraId="54A28868" w14:textId="77777777" w:rsidR="00886E51" w:rsidRPr="009A10F6" w:rsidRDefault="00886E51" w:rsidP="00886E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Esclarecimentos</w:t>
      </w:r>
    </w:p>
    <w:p w14:paraId="7A57E5B4" w14:textId="5F8E63E6" w:rsidR="00886E51" w:rsidRPr="009A10F6" w:rsidRDefault="00886E51" w:rsidP="00886E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pt-PT"/>
        </w:rPr>
        <w:t xml:space="preserve">As dúvidas e esclarecimentos </w:t>
      </w:r>
      <w:r w:rsidR="00454E3B">
        <w:rPr>
          <w:rFonts w:ascii="Times New Roman" w:hAnsi="Times New Roman" w:cs="Times New Roman"/>
          <w:color w:val="000000"/>
          <w:sz w:val="26"/>
          <w:szCs w:val="26"/>
          <w:lang w:val="pt-PT"/>
        </w:rPr>
        <w:t xml:space="preserve">na interpretação e aplicação do presente Regulamento </w:t>
      </w:r>
      <w:r>
        <w:rPr>
          <w:rFonts w:ascii="Times New Roman" w:hAnsi="Times New Roman" w:cs="Times New Roman"/>
          <w:color w:val="000000"/>
          <w:sz w:val="26"/>
          <w:szCs w:val="26"/>
          <w:lang w:val="pt-PT"/>
        </w:rPr>
        <w:t>devem ser submetidos ao Departamento de Regulamentação e Licenciamento do Banco de Moçambique.</w:t>
      </w:r>
    </w:p>
    <w:p w14:paraId="4C923809" w14:textId="6C97AE46" w:rsidR="00886E51" w:rsidRDefault="00886E51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14671D61" w14:textId="77777777" w:rsidR="00886E51" w:rsidRPr="009A10F6" w:rsidRDefault="00886E51" w:rsidP="00886E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Artigo 28</w:t>
      </w:r>
    </w:p>
    <w:p w14:paraId="65EBD932" w14:textId="77777777" w:rsidR="00A503D2" w:rsidRPr="009A10F6" w:rsidRDefault="00A503D2" w:rsidP="00A503D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b/>
          <w:sz w:val="26"/>
          <w:szCs w:val="26"/>
          <w:lang w:val="pt-PT"/>
        </w:rPr>
        <w:t>Entrada em vigor</w:t>
      </w:r>
    </w:p>
    <w:p w14:paraId="23F84941" w14:textId="041F6ADE" w:rsidR="00A503D2" w:rsidRPr="009A10F6" w:rsidRDefault="00A503D2" w:rsidP="00A503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O presente </w:t>
      </w:r>
      <w:r w:rsidR="00454E3B">
        <w:rPr>
          <w:rFonts w:ascii="Times New Roman" w:hAnsi="Times New Roman" w:cs="Times New Roman"/>
          <w:sz w:val="26"/>
          <w:szCs w:val="26"/>
          <w:lang w:val="pt-PT"/>
        </w:rPr>
        <w:t>Regulamento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 xml:space="preserve"> entra em vigor </w:t>
      </w:r>
      <w:r w:rsidR="008D64C3">
        <w:rPr>
          <w:rFonts w:ascii="Times New Roman" w:hAnsi="Times New Roman" w:cs="Times New Roman"/>
          <w:sz w:val="26"/>
          <w:szCs w:val="26"/>
          <w:lang w:val="pt-PT"/>
        </w:rPr>
        <w:t>n</w:t>
      </w:r>
      <w:r w:rsidRPr="009A10F6">
        <w:rPr>
          <w:rFonts w:ascii="Times New Roman" w:hAnsi="Times New Roman" w:cs="Times New Roman"/>
          <w:sz w:val="26"/>
          <w:szCs w:val="26"/>
          <w:lang w:val="pt-PT"/>
        </w:rPr>
        <w:t>a data da sua publicação.</w:t>
      </w:r>
    </w:p>
    <w:p w14:paraId="071F0048" w14:textId="2319CD2C" w:rsidR="00A503D2" w:rsidRDefault="00A503D2" w:rsidP="00B056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4B5A9070" w14:textId="77777777" w:rsidR="00B0565F" w:rsidRDefault="00B0565F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6C64010F" w14:textId="77777777" w:rsidR="00D2752A" w:rsidRDefault="0023710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Rogério Lucas Zandamela</w:t>
      </w:r>
    </w:p>
    <w:p w14:paraId="53899DA0" w14:textId="77777777" w:rsidR="0023710B" w:rsidRDefault="0023710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Governador</w:t>
      </w:r>
    </w:p>
    <w:p w14:paraId="6170E2A8" w14:textId="77777777" w:rsidR="00D2752A" w:rsidRDefault="00D2752A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42B43793" w14:textId="77777777" w:rsidR="00D2752A" w:rsidRDefault="00D2752A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16C4D580" w14:textId="0E089576" w:rsidR="00D2752A" w:rsidRDefault="00D2752A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7A5A8344" w14:textId="32B3A9D7" w:rsidR="0042203F" w:rsidRDefault="0042203F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318770F4" w14:textId="51BA0A2D" w:rsidR="0042203F" w:rsidRDefault="0042203F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69253C95" w14:textId="54F68773" w:rsidR="0042203F" w:rsidRDefault="0042203F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10B7342D" w14:textId="78A8A020" w:rsidR="0042203F" w:rsidRDefault="0042203F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7813D6C5" w14:textId="27ACC61C" w:rsidR="00454E3B" w:rsidRDefault="00454E3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2A38DF57" w14:textId="2E1AD6E6" w:rsidR="00454E3B" w:rsidRDefault="00454E3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56B2F46B" w14:textId="01D0B91B" w:rsidR="00454E3B" w:rsidRDefault="00454E3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3F59EBF8" w14:textId="72D8BB5F" w:rsidR="00454E3B" w:rsidRDefault="00454E3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7F992830" w14:textId="13504EFB" w:rsidR="00454E3B" w:rsidRDefault="00454E3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0AF2BF50" w14:textId="502AF6AA" w:rsidR="00454E3B" w:rsidRDefault="00454E3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1B45A71C" w14:textId="6AD8D10B" w:rsidR="00454E3B" w:rsidRDefault="00454E3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1AD88E68" w14:textId="31F00AC5" w:rsidR="00454E3B" w:rsidRDefault="00454E3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60DA0227" w14:textId="77777777" w:rsidR="00454E3B" w:rsidRDefault="00454E3B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313A4CF9" w14:textId="5FCD9AD7" w:rsidR="00886E51" w:rsidRDefault="00886E51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6DBA1CBE" w14:textId="5F71001F" w:rsidR="00886E51" w:rsidRDefault="00886E51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0D1E99EE" w14:textId="77777777" w:rsidR="00886E51" w:rsidRDefault="00886E51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71E5F848" w14:textId="08783035" w:rsidR="0042203F" w:rsidRDefault="0042203F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28B9DE4E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  <w:t>ANEXO I</w:t>
      </w:r>
    </w:p>
    <w:p w14:paraId="7D921D71" w14:textId="77777777" w:rsidR="00D2752A" w:rsidRPr="00A35036" w:rsidRDefault="00D2752A" w:rsidP="00D275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69806059" w14:textId="66B40367" w:rsidR="00D2752A" w:rsidRPr="00A35036" w:rsidRDefault="00D2752A" w:rsidP="00D275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color w:val="000000"/>
          <w:sz w:val="26"/>
          <w:szCs w:val="26"/>
          <w:lang w:val="pt-PT"/>
        </w:rPr>
        <w:t xml:space="preserve">Para efeitos do presente </w:t>
      </w:r>
      <w:r w:rsidR="00454E3B">
        <w:rPr>
          <w:rFonts w:ascii="Times New Roman" w:hAnsi="Times New Roman" w:cs="Times New Roman"/>
          <w:color w:val="000000"/>
          <w:sz w:val="26"/>
          <w:szCs w:val="26"/>
          <w:lang w:val="pt-PT"/>
        </w:rPr>
        <w:t>Regulamento</w:t>
      </w:r>
      <w:r w:rsidRPr="00A35036">
        <w:rPr>
          <w:rFonts w:ascii="Times New Roman" w:hAnsi="Times New Roman" w:cs="Times New Roman"/>
          <w:color w:val="000000"/>
          <w:sz w:val="26"/>
          <w:szCs w:val="26"/>
          <w:lang w:val="pt-PT"/>
        </w:rPr>
        <w:t>, entende-se por:</w:t>
      </w:r>
    </w:p>
    <w:p w14:paraId="7CFD3089" w14:textId="77777777" w:rsidR="00D2752A" w:rsidRPr="00A35036" w:rsidRDefault="00D2752A" w:rsidP="00D275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183C01CA" w14:textId="65A09C9E" w:rsidR="00D2752A" w:rsidRPr="00647568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>Comissões</w:t>
      </w:r>
      <w:r w:rsidR="00172807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647568">
        <w:rPr>
          <w:rFonts w:ascii="Times New Roman" w:hAnsi="Times New Roman"/>
          <w:sz w:val="26"/>
          <w:szCs w:val="26"/>
        </w:rPr>
        <w:t xml:space="preserve"> valores cobrados aos consumidores financeiros pelas instituições como retribuição pelos serviços prestados ou produtos disponibilizados, no âmbito das suas actividades</w:t>
      </w:r>
      <w:r w:rsidRPr="00647568">
        <w:rPr>
          <w:rFonts w:ascii="Times New Roman" w:hAnsi="Times New Roman"/>
          <w:color w:val="000000"/>
          <w:sz w:val="26"/>
          <w:szCs w:val="26"/>
        </w:rPr>
        <w:t>;</w:t>
      </w:r>
    </w:p>
    <w:p w14:paraId="511D6C56" w14:textId="77777777" w:rsidR="00D2752A" w:rsidRPr="00A35036" w:rsidRDefault="00D2752A" w:rsidP="00D2752A">
      <w:pPr>
        <w:pStyle w:val="ListParagraph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0D203CB" w14:textId="5FECAF8C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>Data-valor</w:t>
      </w:r>
      <w:r w:rsidR="00172807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 data a partir da qual, o valor de uma transferência ou depósito se torna efectivo e se inicia a eventual contagem de juros decorrentes dos saldos credores ou devedores das contas de depósito;</w:t>
      </w:r>
    </w:p>
    <w:p w14:paraId="43E879CF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4895C5CD" w14:textId="34F8AA0B" w:rsidR="00D2752A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>Descoberto</w:t>
      </w:r>
      <w:r w:rsidR="00172807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 contrato expresso pelo qual a instituição de crédito permite a um cliente dispor de fundos que excedem o saldo da respectiva conta com depósito à ordem;</w:t>
      </w:r>
    </w:p>
    <w:p w14:paraId="34D22DE1" w14:textId="77777777" w:rsidR="00D2752A" w:rsidRPr="00647568" w:rsidRDefault="00D2752A" w:rsidP="00D2752A">
      <w:pPr>
        <w:pStyle w:val="ListParagraph"/>
        <w:rPr>
          <w:rFonts w:ascii="Times New Roman" w:hAnsi="Times New Roman"/>
          <w:color w:val="000000"/>
          <w:sz w:val="26"/>
          <w:szCs w:val="26"/>
        </w:rPr>
      </w:pPr>
    </w:p>
    <w:p w14:paraId="7E36D37F" w14:textId="7C6B6299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Encargos</w:t>
      </w:r>
      <w:r w:rsidR="00172807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 encargos suportados pelas instituições de crédito, que lhes são exigíveis por terceiros e que se repercutem nos clientes, tais como, o pagamento de taxas dos serviços das conservatórias, cartórios notariais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 pagamentos de natureza </w:t>
      </w:r>
      <w:r>
        <w:rPr>
          <w:rFonts w:ascii="Times New Roman" w:hAnsi="Times New Roman"/>
          <w:color w:val="000000"/>
          <w:sz w:val="26"/>
          <w:szCs w:val="26"/>
        </w:rPr>
        <w:t xml:space="preserve">administrativa ou </w:t>
      </w:r>
      <w:r w:rsidRPr="00A35036">
        <w:rPr>
          <w:rFonts w:ascii="Times New Roman" w:hAnsi="Times New Roman"/>
          <w:color w:val="000000"/>
          <w:sz w:val="26"/>
          <w:szCs w:val="26"/>
        </w:rPr>
        <w:t>fiscal;</w:t>
      </w:r>
    </w:p>
    <w:p w14:paraId="185CA946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35D698E7" w14:textId="77777777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>Ficha de informação normalizada</w:t>
      </w:r>
      <w:r w:rsidRPr="00A35036">
        <w:rPr>
          <w:rFonts w:ascii="Times New Roman" w:hAnsi="Times New Roman"/>
          <w:color w:val="000000"/>
          <w:sz w:val="26"/>
          <w:szCs w:val="26"/>
        </w:rPr>
        <w:t>: documento que as instituições de crédito devem disponibilizar aos clientes previamente à celebração do contrato de abertura de conta para depósito bancário, no qual contém um resumo das principais características do contrato e os compromissos que o cliente vai assumir;</w:t>
      </w:r>
    </w:p>
    <w:p w14:paraId="04B4B1C9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231513A9" w14:textId="436DE14D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lastRenderedPageBreak/>
        <w:t>Grupo de Poupança</w:t>
      </w:r>
      <w:r w:rsidR="00454E3B">
        <w:rPr>
          <w:rFonts w:ascii="Times New Roman" w:hAnsi="Times New Roman"/>
          <w:b/>
          <w:color w:val="000000"/>
          <w:sz w:val="26"/>
          <w:szCs w:val="26"/>
        </w:rPr>
        <w:t xml:space="preserve"> e Crédito Rotativo</w:t>
      </w:r>
      <w:r w:rsidR="00273B3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A3503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73B30" w:rsidRPr="00273B30">
        <w:rPr>
          <w:rFonts w:ascii="Times New Roman" w:hAnsi="Times New Roman"/>
          <w:color w:val="000000"/>
          <w:sz w:val="26"/>
          <w:szCs w:val="26"/>
        </w:rPr>
        <w:t>c</w:t>
      </w:r>
      <w:r w:rsidRPr="00273B30">
        <w:rPr>
          <w:rFonts w:ascii="Times New Roman" w:hAnsi="Times New Roman"/>
          <w:color w:val="000000"/>
          <w:sz w:val="26"/>
          <w:szCs w:val="26"/>
        </w:rPr>
        <w:t>on</w:t>
      </w:r>
      <w:r w:rsidRPr="00C85C5C">
        <w:rPr>
          <w:rFonts w:ascii="Times New Roman" w:hAnsi="Times New Roman"/>
          <w:color w:val="000000"/>
          <w:sz w:val="26"/>
          <w:szCs w:val="26"/>
        </w:rPr>
        <w:t xml:space="preserve">junto de membros, que se organizam com o objectivo de pouparem dinheiro e se reúnem periódica e obrigatoriamente. Os membros possuem uma base comunitária e funcionam através de </w:t>
      </w:r>
      <w:proofErr w:type="spellStart"/>
      <w:r w:rsidRPr="00C85C5C">
        <w:rPr>
          <w:rFonts w:ascii="Times New Roman" w:hAnsi="Times New Roman"/>
          <w:color w:val="000000"/>
          <w:sz w:val="26"/>
          <w:szCs w:val="26"/>
        </w:rPr>
        <w:t>auto-regulação</w:t>
      </w:r>
      <w:proofErr w:type="spellEnd"/>
      <w:r w:rsidRPr="00C85C5C">
        <w:rPr>
          <w:rFonts w:ascii="Times New Roman" w:hAnsi="Times New Roman"/>
          <w:color w:val="000000"/>
          <w:sz w:val="26"/>
          <w:szCs w:val="26"/>
        </w:rPr>
        <w:t xml:space="preserve"> (regulamento interno);</w:t>
      </w:r>
    </w:p>
    <w:p w14:paraId="7A9FF13D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64F6AFDD" w14:textId="70F22A56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>Indexante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0E05C0" w:rsidRPr="00FA5C07">
        <w:rPr>
          <w:rFonts w:ascii="Times New Roman" w:hAnsi="Times New Roman"/>
          <w:color w:val="000000"/>
          <w:sz w:val="26"/>
          <w:szCs w:val="26"/>
        </w:rPr>
        <w:t>índice de r</w:t>
      </w:r>
      <w:r w:rsidR="000E05C0" w:rsidRPr="000E05C0">
        <w:rPr>
          <w:rFonts w:ascii="Times New Roman" w:hAnsi="Times New Roman"/>
          <w:color w:val="000000"/>
          <w:sz w:val="26"/>
          <w:szCs w:val="26"/>
        </w:rPr>
        <w:t>eferência do mercado monetário</w:t>
      </w:r>
      <w:r w:rsidR="000E05C0" w:rsidRPr="00FA5C07">
        <w:rPr>
          <w:rFonts w:ascii="Times New Roman" w:hAnsi="Times New Roman"/>
          <w:color w:val="000000"/>
          <w:sz w:val="26"/>
          <w:szCs w:val="26"/>
        </w:rPr>
        <w:t>, estando o seu valor sujeito a modificação por efeito de alteração do valor do índice de referência, em periodicidade que deve ser coincidente com o respectivo prazo de cotação</w:t>
      </w:r>
      <w:r w:rsidR="00FA5C07">
        <w:rPr>
          <w:rFonts w:ascii="Times New Roman" w:hAnsi="Times New Roman"/>
          <w:color w:val="000000"/>
          <w:sz w:val="26"/>
          <w:szCs w:val="26"/>
        </w:rPr>
        <w:t>;</w:t>
      </w:r>
    </w:p>
    <w:p w14:paraId="66C5911E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445D11F3" w14:textId="77777777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>Meio de comunicação à distância: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 qualquer meio de comunicação que pode ser utilizado sem a presença física e simultânea da instituição de crédito e do cliente;</w:t>
      </w:r>
    </w:p>
    <w:p w14:paraId="41868041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5FF30372" w14:textId="77777777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>Suporte duradouro: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 qualquer instrumento que permite ao cliente armazenar informações que lhe sejam pessoalmente dirigidas, de modo a que, no futuro, possa aceder facilmente à informação armazenada durante um período de tempo adequado aos fins a que esta se destina e, bem assim, reproduzir essa informação de forma integral e inalterada; </w:t>
      </w:r>
    </w:p>
    <w:p w14:paraId="7443AAB9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62F980E1" w14:textId="77777777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 xml:space="preserve">Taxa Anual </w:t>
      </w:r>
      <w:proofErr w:type="spellStart"/>
      <w:r w:rsidRPr="00A35036">
        <w:rPr>
          <w:rFonts w:ascii="Times New Roman" w:hAnsi="Times New Roman"/>
          <w:b/>
          <w:color w:val="000000"/>
          <w:sz w:val="26"/>
          <w:szCs w:val="26"/>
        </w:rPr>
        <w:t>Efectiva</w:t>
      </w:r>
      <w:proofErr w:type="spellEnd"/>
      <w:r w:rsidRPr="00A35036">
        <w:rPr>
          <w:rFonts w:ascii="Times New Roman" w:hAnsi="Times New Roman"/>
          <w:b/>
          <w:color w:val="000000"/>
          <w:sz w:val="26"/>
          <w:szCs w:val="26"/>
        </w:rPr>
        <w:t xml:space="preserve"> (TAE):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 taxa que mede, em percentagem, os juros </w:t>
      </w:r>
      <w:proofErr w:type="spellStart"/>
      <w:r w:rsidRPr="00A35036">
        <w:rPr>
          <w:rFonts w:ascii="Times New Roman" w:hAnsi="Times New Roman"/>
          <w:color w:val="000000"/>
          <w:sz w:val="26"/>
          <w:szCs w:val="26"/>
        </w:rPr>
        <w:t>efectivamente</w:t>
      </w:r>
      <w:proofErr w:type="spellEnd"/>
      <w:r w:rsidRPr="00A35036">
        <w:rPr>
          <w:rFonts w:ascii="Times New Roman" w:hAnsi="Times New Roman"/>
          <w:color w:val="000000"/>
          <w:sz w:val="26"/>
          <w:szCs w:val="26"/>
        </w:rPr>
        <w:t xml:space="preserve"> pagos num ano, sobre um determinado depósito;</w:t>
      </w:r>
    </w:p>
    <w:p w14:paraId="18D21361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4E3E2955" w14:textId="77777777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 xml:space="preserve">Taxa Anual de Encargos </w:t>
      </w:r>
      <w:proofErr w:type="spellStart"/>
      <w:r w:rsidRPr="00A35036">
        <w:rPr>
          <w:rFonts w:ascii="Times New Roman" w:hAnsi="Times New Roman"/>
          <w:b/>
          <w:color w:val="000000"/>
          <w:sz w:val="26"/>
          <w:szCs w:val="26"/>
        </w:rPr>
        <w:t>Efectiva</w:t>
      </w:r>
      <w:proofErr w:type="spellEnd"/>
      <w:r w:rsidRPr="00A35036">
        <w:rPr>
          <w:rFonts w:ascii="Times New Roman" w:hAnsi="Times New Roman"/>
          <w:b/>
          <w:color w:val="000000"/>
          <w:sz w:val="26"/>
          <w:szCs w:val="26"/>
        </w:rPr>
        <w:t xml:space="preserve"> Global (TAEG)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A35036">
        <w:rPr>
          <w:rFonts w:ascii="Times New Roman" w:hAnsi="Times New Roman"/>
          <w:sz w:val="26"/>
          <w:szCs w:val="26"/>
        </w:rPr>
        <w:t xml:space="preserve">custo total do crédito para o cliente, expresso em percentagem anual do montante total do crédito concedido e que, torna equivalentes, numa base anual, os valores </w:t>
      </w:r>
      <w:proofErr w:type="spellStart"/>
      <w:r w:rsidRPr="00A35036">
        <w:rPr>
          <w:rFonts w:ascii="Times New Roman" w:hAnsi="Times New Roman"/>
          <w:sz w:val="26"/>
          <w:szCs w:val="26"/>
        </w:rPr>
        <w:t>actuais</w:t>
      </w:r>
      <w:proofErr w:type="spellEnd"/>
      <w:r w:rsidRPr="00A35036">
        <w:rPr>
          <w:rFonts w:ascii="Times New Roman" w:hAnsi="Times New Roman"/>
          <w:sz w:val="26"/>
          <w:szCs w:val="26"/>
        </w:rPr>
        <w:t xml:space="preserve"> das obrigações assumidas e inclui, as despesas de cobrança, reembolsos e pagamentos de juros, bem como todos os restantes encargos obrigatórios suportados pelo mutuário (impostos, selos fiscais, seguros)</w:t>
      </w:r>
      <w:r w:rsidRPr="00A35036">
        <w:rPr>
          <w:rFonts w:ascii="Times New Roman" w:hAnsi="Times New Roman"/>
          <w:color w:val="000000"/>
          <w:sz w:val="26"/>
          <w:szCs w:val="26"/>
        </w:rPr>
        <w:t>;</w:t>
      </w:r>
    </w:p>
    <w:p w14:paraId="41C48B74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2C26B85C" w14:textId="77777777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 xml:space="preserve">Taxa Anual Nominal (TAN): </w:t>
      </w:r>
      <w:r w:rsidRPr="00A35036">
        <w:rPr>
          <w:rFonts w:ascii="Times New Roman" w:hAnsi="Times New Roman"/>
          <w:color w:val="000000"/>
          <w:sz w:val="26"/>
          <w:szCs w:val="26"/>
        </w:rPr>
        <w:t>taxa que aplicada a um dado capital, num determinado momento, produz um montante denominado juro;</w:t>
      </w:r>
    </w:p>
    <w:p w14:paraId="647B6561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6CED30C6" w14:textId="77777777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lastRenderedPageBreak/>
        <w:t>Taxa Anual Nominal Bruta (TANB):</w:t>
      </w:r>
      <w:r w:rsidRPr="00A35036">
        <w:rPr>
          <w:rStyle w:val="Emphasis"/>
          <w:rFonts w:ascii="Times New Roman" w:hAnsi="Times New Roman"/>
          <w:color w:val="000000"/>
          <w:sz w:val="26"/>
          <w:szCs w:val="26"/>
        </w:rPr>
        <w:t xml:space="preserve"> </w:t>
      </w:r>
      <w:r w:rsidRPr="00A35036">
        <w:rPr>
          <w:rFonts w:ascii="Times New Roman" w:hAnsi="Times New Roman"/>
          <w:sz w:val="26"/>
          <w:szCs w:val="26"/>
        </w:rPr>
        <w:t xml:space="preserve">taxa de remuneração do depósito antes da dedução dos impostos. </w:t>
      </w:r>
      <w:r>
        <w:rPr>
          <w:rFonts w:ascii="Times New Roman" w:hAnsi="Times New Roman"/>
          <w:sz w:val="26"/>
          <w:szCs w:val="26"/>
        </w:rPr>
        <w:t>A TANB r</w:t>
      </w:r>
      <w:r w:rsidRPr="00A35036">
        <w:rPr>
          <w:rFonts w:ascii="Times New Roman" w:hAnsi="Times New Roman"/>
          <w:sz w:val="26"/>
          <w:szCs w:val="26"/>
        </w:rPr>
        <w:t xml:space="preserve">efere-se ao período de um ano pelo que, para calcular os juros a receber, deve-se multiplicar a taxa pelo número de dias de juros dividido por 360 dias. </w:t>
      </w:r>
      <w:r>
        <w:rPr>
          <w:rFonts w:ascii="Times New Roman" w:hAnsi="Times New Roman"/>
          <w:sz w:val="26"/>
          <w:szCs w:val="26"/>
        </w:rPr>
        <w:t>A TANB é</w:t>
      </w:r>
      <w:r w:rsidRPr="00A35036">
        <w:rPr>
          <w:rFonts w:ascii="Times New Roman" w:hAnsi="Times New Roman"/>
          <w:sz w:val="26"/>
          <w:szCs w:val="26"/>
        </w:rPr>
        <w:t xml:space="preserve"> a taxa que remunera determinada aplicação e frequentemente, é usada nos depósitos a prazo</w:t>
      </w:r>
      <w:r w:rsidRPr="00A35036">
        <w:rPr>
          <w:rFonts w:ascii="Times New Roman" w:hAnsi="Times New Roman"/>
          <w:color w:val="000000"/>
          <w:sz w:val="26"/>
          <w:szCs w:val="26"/>
        </w:rPr>
        <w:t>;</w:t>
      </w:r>
    </w:p>
    <w:p w14:paraId="62750367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3E1080C7" w14:textId="77777777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>Taxa Anual Nominal Líquida (TANL):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 taxa nominal deduzida de todos os impostos e encargos;</w:t>
      </w:r>
    </w:p>
    <w:p w14:paraId="1A291D86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365E5F3E" w14:textId="39FBFB4F" w:rsidR="00D2752A" w:rsidRPr="00A35036" w:rsidRDefault="00D2752A" w:rsidP="00D2752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b/>
          <w:color w:val="000000"/>
          <w:sz w:val="26"/>
          <w:szCs w:val="26"/>
        </w:rPr>
        <w:t>Taxa Média Ponderada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: taxa que </w:t>
      </w:r>
      <w:r w:rsidRPr="00A35036">
        <w:rPr>
          <w:rFonts w:ascii="Times New Roman" w:hAnsi="Times New Roman"/>
          <w:color w:val="000000"/>
          <w:sz w:val="26"/>
          <w:szCs w:val="26"/>
          <w:lang w:val="pt-BR"/>
        </w:rPr>
        <w:t>é calculada por meio do somatório das multiplicações entre valores e pesos divididos pelo somatório dos pesos.</w:t>
      </w:r>
      <w:r w:rsidRPr="00A3503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D78A4E3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785A90B9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456EF780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4D19D1BA" w14:textId="66C6DFB6" w:rsidR="00D2752A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768139BB" w14:textId="7A5E98CC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1A18D302" w14:textId="39BE2AAF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4F7856D6" w14:textId="617954B7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06B3D2B7" w14:textId="1F256B9C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799E074D" w14:textId="15D716BF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77905475" w14:textId="5E427968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3738654C" w14:textId="35203A5D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306BCD3D" w14:textId="41EE02BC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62EBC78D" w14:textId="7A1100FA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795F7D8A" w14:textId="5314128C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44186943" w14:textId="1CAAA829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5A01F0DA" w14:textId="2BDB811D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1EF4F826" w14:textId="5DA6EF0C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682D8FC0" w14:textId="2C2935AE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43FD109A" w14:textId="2EAE79BF" w:rsidR="00FA5C07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76816F32" w14:textId="77777777" w:rsidR="00FA5C07" w:rsidRPr="00A35036" w:rsidRDefault="00FA5C07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728F9972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40C4487A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  <w:lastRenderedPageBreak/>
        <w:t>ANEXO II</w:t>
      </w:r>
      <w:r w:rsidRPr="00A35036"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  <w:tab/>
      </w:r>
    </w:p>
    <w:p w14:paraId="451D399A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bCs/>
          <w:color w:val="000000"/>
          <w:sz w:val="26"/>
          <w:szCs w:val="26"/>
          <w:lang w:val="pt-PT"/>
        </w:rPr>
        <w:t xml:space="preserve">Ficha de informação normalizada para Depósitos (FIND) </w:t>
      </w:r>
    </w:p>
    <w:p w14:paraId="0D379527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bCs/>
          <w:i/>
          <w:color w:val="000000"/>
          <w:sz w:val="26"/>
          <w:szCs w:val="26"/>
          <w:lang w:val="pt-PT"/>
        </w:rPr>
        <w:t>(Modelo aplicável a depósitos à ordem)</w:t>
      </w:r>
    </w:p>
    <w:p w14:paraId="2861A23B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D2752A" w:rsidRPr="00A35036" w14:paraId="4EDA6C9F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4997997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A. Elementos de identificação</w:t>
            </w:r>
          </w:p>
        </w:tc>
      </w:tr>
      <w:tr w:rsidR="00D2752A" w:rsidRPr="00A35036" w14:paraId="2A53B41E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85F6A4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1. Identificação da Instituição Depositária</w:t>
            </w:r>
          </w:p>
        </w:tc>
      </w:tr>
      <w:tr w:rsidR="00D2752A" w:rsidRPr="00AC0F10" w14:paraId="4C375DA1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A1C3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 xml:space="preserve">1.1 Denominação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9EE3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(Inserir denominação da Instituição de Crédito).</w:t>
            </w:r>
          </w:p>
        </w:tc>
      </w:tr>
      <w:tr w:rsidR="00D2752A" w:rsidRPr="00AC0F10" w14:paraId="4FAA65A9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CA4D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 xml:space="preserve">1.2 </w:t>
            </w: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Endereço 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932A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 xml:space="preserve">(Inserir o endereço da Instituição de Crédito).         </w:t>
            </w:r>
          </w:p>
        </w:tc>
      </w:tr>
      <w:tr w:rsidR="00D2752A" w:rsidRPr="00AC0F10" w14:paraId="6914C480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E61A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1.3 Contactos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47E3" w14:textId="07C7FD77" w:rsidR="00D2752A" w:rsidRPr="00A35036" w:rsidRDefault="00D2752A" w:rsidP="00DB56B3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  <w:t>(Inserir número de telefone, endereço electrónico</w:t>
            </w:r>
            <w:r w:rsidRPr="00A35036">
              <w:rPr>
                <w:rFonts w:ascii="Times New Roman" w:hAnsi="Times New Roman"/>
                <w:i/>
                <w:color w:val="000000"/>
                <w:sz w:val="26"/>
                <w:szCs w:val="26"/>
                <w:lang w:val="pt-PT"/>
              </w:rPr>
              <w:t>,</w:t>
            </w:r>
            <w:r w:rsidR="00FA5C07"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  <w:t xml:space="preserve"> </w:t>
            </w:r>
            <w:r w:rsidRPr="00A35036"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  <w:t>entre outros).</w:t>
            </w:r>
          </w:p>
        </w:tc>
      </w:tr>
      <w:tr w:rsidR="00DB56B3" w:rsidRPr="00E84B5B" w14:paraId="783F253A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6DA1" w14:textId="3D949D5C" w:rsidR="00DB56B3" w:rsidRPr="00A35036" w:rsidRDefault="00DB56B3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1.4. Informação fiscal e bancária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9918" w14:textId="19F29C8C" w:rsidR="00DB56B3" w:rsidRPr="00A35036" w:rsidRDefault="00DB56B3" w:rsidP="00DB56B3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  <w:t xml:space="preserve">NUIT; </w:t>
            </w:r>
            <w:r w:rsidRPr="00A35036"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  <w:t>NUIB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  <w:t>.</w:t>
            </w:r>
          </w:p>
        </w:tc>
      </w:tr>
      <w:tr w:rsidR="00D2752A" w:rsidRPr="00AC0F10" w14:paraId="4D16376D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35810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2. Data da Ficha de Informação Normalizada (FIN)</w:t>
            </w:r>
          </w:p>
        </w:tc>
      </w:tr>
      <w:tr w:rsidR="00D2752A" w:rsidRPr="00AC0F10" w14:paraId="41224C53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33BA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Indicar a data de elaboração do presente documento.</w:t>
            </w:r>
          </w:p>
        </w:tc>
      </w:tr>
      <w:tr w:rsidR="00D2752A" w:rsidRPr="00AC0F10" w14:paraId="5C5968EE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D6D941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B. Descrição das principais características do produto</w:t>
            </w:r>
          </w:p>
        </w:tc>
      </w:tr>
      <w:tr w:rsidR="00D2752A" w:rsidRPr="00AC0F10" w14:paraId="3940407D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55E3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1. Designação comercial do produto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E717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(Indicação da designação da conta).</w:t>
            </w:r>
          </w:p>
        </w:tc>
      </w:tr>
      <w:tr w:rsidR="00D2752A" w:rsidRPr="00AC0F10" w14:paraId="0EBA38CC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BACC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2. Condições de acesso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1793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(Descrever as condições de acesso ao produto, se aplicável)</w:t>
            </w:r>
          </w:p>
        </w:tc>
      </w:tr>
      <w:tr w:rsidR="00D2752A" w:rsidRPr="00A35036" w14:paraId="16446F7D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AE26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3. Modalidade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9895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Depósito à Ordem</w:t>
            </w:r>
          </w:p>
        </w:tc>
      </w:tr>
      <w:tr w:rsidR="00D2752A" w:rsidRPr="00AC0F10" w14:paraId="0370C333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BC57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4. Meios de movimentação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3CB4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os meios de movimentação da conta)</w:t>
            </w:r>
          </w:p>
        </w:tc>
      </w:tr>
      <w:tr w:rsidR="00D2752A" w:rsidRPr="00AC0F10" w14:paraId="02C43AFA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2E1B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5. Moeda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8C96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moeda de denominação da conta)</w:t>
            </w:r>
          </w:p>
        </w:tc>
      </w:tr>
      <w:tr w:rsidR="00D2752A" w:rsidRPr="00A35036" w14:paraId="3D06FD17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172C30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6. Constituição do depósito</w:t>
            </w:r>
          </w:p>
        </w:tc>
      </w:tr>
      <w:tr w:rsidR="00D2752A" w:rsidRPr="00AC0F10" w14:paraId="566B38D8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290E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6.1 Montante mínimo (caso aplicável)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E5CA" w14:textId="77777777" w:rsidR="00D2752A" w:rsidRPr="00FD7060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 </w:t>
            </w: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(Indicar o montante mínimo de constituição do depósito, se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aplicável)</w:t>
            </w:r>
          </w:p>
        </w:tc>
      </w:tr>
      <w:tr w:rsidR="00D2752A" w:rsidRPr="00AC0F10" w14:paraId="22EB9574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94BA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6.2 Montante máximo (caso aplicável )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90BD" w14:textId="77777777" w:rsidR="00D2752A" w:rsidRPr="00FD7060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o montante máximo de constitui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ção do depósito, se aplicável) </w:t>
            </w:r>
          </w:p>
        </w:tc>
      </w:tr>
      <w:tr w:rsidR="00D2752A" w:rsidRPr="00A35036" w14:paraId="70BB8AF6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D1411B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7. Remuneração</w:t>
            </w:r>
          </w:p>
        </w:tc>
      </w:tr>
      <w:tr w:rsidR="00D2752A" w:rsidRPr="00A35036" w14:paraId="6CD41F38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FD9F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7.1 TANB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992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TANB)</w:t>
            </w:r>
          </w:p>
        </w:tc>
      </w:tr>
      <w:tr w:rsidR="00D2752A" w:rsidRPr="00A35036" w14:paraId="152AB2D8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8E13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 xml:space="preserve">7.2 TANL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2394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TANL)</w:t>
            </w:r>
          </w:p>
        </w:tc>
      </w:tr>
      <w:tr w:rsidR="00D2752A" w:rsidRPr="00AC0F10" w14:paraId="1E92B2BE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1BC64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7.3  Remuneração da taxa variável  (se aplicável)</w:t>
            </w:r>
          </w:p>
        </w:tc>
      </w:tr>
      <w:tr w:rsidR="00D2752A" w:rsidRPr="00AC0F10" w14:paraId="3BB36BFA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DCC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Descrição da remuneração, com explicitação das taxas aplicáveis ou da sua forma de cálculo, nomeadamente:</w:t>
            </w:r>
          </w:p>
          <w:p w14:paraId="3326334F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- No caso de remuneração à taxa fixa: TANB e TANL, ou as várias TANB e TANL aplicáveis. </w:t>
            </w:r>
          </w:p>
          <w:p w14:paraId="5B8B3657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- No caso de remuneração à taxa variável: o indexante e as respectivas fontes de publicação e a data relevante ou a base para a determinação do indexante aplicável; a frequência da revisão; o </w:t>
            </w:r>
            <w:r w:rsidRPr="00A3503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pt-PT"/>
              </w:rPr>
              <w:t xml:space="preserve">spread </w:t>
            </w: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ou </w:t>
            </w:r>
            <w:r w:rsidRPr="00A3503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pt-PT"/>
              </w:rPr>
              <w:t xml:space="preserve">spreads </w:t>
            </w: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aplicáveis; a forma de arredondamento, se aplicável;</w:t>
            </w:r>
          </w:p>
          <w:p w14:paraId="06B07CE1" w14:textId="77777777" w:rsidR="00D2752A" w:rsidRPr="00FD7060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 xml:space="preserve">- Apresentação, de forma gráfica, da evolução do valor do indexante, por um período que inclua, </w:t>
            </w:r>
            <w:r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no mínimo, os últimos 12 meses.</w:t>
            </w:r>
          </w:p>
        </w:tc>
      </w:tr>
      <w:tr w:rsidR="00D2752A" w:rsidRPr="00AC0F10" w14:paraId="1D6F8956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1E0C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 xml:space="preserve">7.3.1 Indexante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B67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 xml:space="preserve">(Indicar o indexante e respectivas fontes de publicação e a data relevante) </w:t>
            </w:r>
          </w:p>
        </w:tc>
      </w:tr>
      <w:tr w:rsidR="00D2752A" w:rsidRPr="00AC0F10" w14:paraId="79ED15A6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721F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7.3.2 Frequência de revisão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ECD8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 xml:space="preserve">(Indicar a frequência da revisão da taxa variável) </w:t>
            </w:r>
          </w:p>
        </w:tc>
      </w:tr>
      <w:tr w:rsidR="00D2752A" w:rsidRPr="00AC0F10" w14:paraId="2373033F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72D3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 xml:space="preserve">7.3.3 </w:t>
            </w:r>
            <w:r w:rsidRPr="00A35036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pt-PT"/>
              </w:rPr>
              <w:t>Spread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C353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 xml:space="preserve">(Indicar o valor do </w:t>
            </w:r>
            <w:r w:rsidRPr="00A350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pt-PT"/>
              </w:rPr>
              <w:t>spread</w:t>
            </w: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)</w:t>
            </w:r>
          </w:p>
        </w:tc>
      </w:tr>
      <w:tr w:rsidR="00D2752A" w:rsidRPr="00AC0F10" w14:paraId="7534F00F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554A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7.3.4  Forma de arredondamento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C3B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(Descrever a forma de arredondamento da taxa)</w:t>
            </w:r>
          </w:p>
        </w:tc>
      </w:tr>
      <w:tr w:rsidR="00D2752A" w:rsidRPr="00A35036" w14:paraId="5F3A4672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EA7294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8. Cálculo de juros</w:t>
            </w:r>
          </w:p>
        </w:tc>
      </w:tr>
      <w:tr w:rsidR="00D2752A" w:rsidRPr="00AC0F10" w14:paraId="561F16D5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6379" w14:textId="77777777" w:rsidR="00D2752A" w:rsidRPr="00A35036" w:rsidRDefault="00D2752A" w:rsidP="003F4E6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  <w:lastRenderedPageBreak/>
              <w:t>Descrição da forma de cálculo dos juros, mencionando-se, nomeadamente, a periodicidade, a base de cálculo e a forma de arredondamento aplicável.</w:t>
            </w:r>
          </w:p>
          <w:p w14:paraId="6BCDED8C" w14:textId="77777777" w:rsidR="00D2752A" w:rsidRPr="00FD7060" w:rsidRDefault="00D2752A" w:rsidP="003F4E6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  <w:t xml:space="preserve">Quando os juros forem calculados com base num saldo médio, indicar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PT"/>
              </w:rPr>
              <w:t>a forma de cálculo desse saldo.</w:t>
            </w:r>
          </w:p>
        </w:tc>
      </w:tr>
      <w:tr w:rsidR="00D2752A" w:rsidRPr="00AC0F10" w14:paraId="0FACB76C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6B4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8.1 Pagamento de juros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6B65" w14:textId="77777777" w:rsidR="00D2752A" w:rsidRPr="00FD7060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a perio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dicidade de pagamento de juros)</w:t>
            </w:r>
          </w:p>
        </w:tc>
      </w:tr>
      <w:tr w:rsidR="00D2752A" w:rsidRPr="00A35036" w14:paraId="17F76BA8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05576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9. Regime fiscal</w:t>
            </w:r>
          </w:p>
        </w:tc>
      </w:tr>
      <w:tr w:rsidR="00D2752A" w:rsidRPr="00AC0F10" w14:paraId="2FE40AC3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C01C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Incluir a descrição do regime fiscal aplicável e conhecido à data da comercialização, tal como se segue: </w:t>
            </w:r>
          </w:p>
          <w:p w14:paraId="677BAED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“Juros passíveis de [IRPS/IRPC] à taxa de [x%]” ou “Juros isentos de [IRPS/IRPC] (especificando as condições)”; </w:t>
            </w:r>
          </w:p>
          <w:p w14:paraId="0EF03313" w14:textId="77777777" w:rsidR="00D2752A" w:rsidRPr="00FD7060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“Comissão/despesa [identificar comissão/despesa] sujeita a [Imposto de selo] à taxa d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e [x%]”.</w:t>
            </w:r>
          </w:p>
        </w:tc>
      </w:tr>
      <w:tr w:rsidR="00D2752A" w:rsidRPr="00AC0F10" w14:paraId="7E705D2C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B0C8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10. Comissões e despesas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CF9C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(Identificar e quantificar todas as comissões e despesas associadas à conta) </w:t>
            </w:r>
          </w:p>
        </w:tc>
      </w:tr>
      <w:tr w:rsidR="00D2752A" w:rsidRPr="00A35036" w14:paraId="78BB1390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B36875" w14:textId="3A2F07C6" w:rsidR="00D2752A" w:rsidRPr="00A35036" w:rsidRDefault="00D2752A" w:rsidP="00DB56B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 xml:space="preserve">11.Descoberto </w:t>
            </w:r>
          </w:p>
        </w:tc>
      </w:tr>
      <w:tr w:rsidR="00D2752A" w:rsidRPr="00AC0F10" w14:paraId="2FEB438A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6AF5" w14:textId="6832499C" w:rsidR="00D2752A" w:rsidRPr="00A35036" w:rsidRDefault="00D2752A" w:rsidP="00DB56B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 xml:space="preserve">     Descoberto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055C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Se aplicável, descrever as condições de utilização das facilidades de descoberto associadas à conta, designadamente: TAN, TAE ou TAEG, conforme aplicável, indicada através de exemplo representativo</w:t>
            </w: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; </w:t>
            </w:r>
          </w:p>
          <w:p w14:paraId="06D8516C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Cálculo de juros e datas de pagamento de juros; </w:t>
            </w:r>
          </w:p>
          <w:p w14:paraId="33B85C2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Condições de reembolso;</w:t>
            </w:r>
          </w:p>
          <w:p w14:paraId="42B3F552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Comissões e despesas; </w:t>
            </w:r>
          </w:p>
          <w:p w14:paraId="0CD72AA0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Montantes máximos disponíveis;</w:t>
            </w:r>
          </w:p>
          <w:p w14:paraId="358AFBD1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Juros de mora.</w:t>
            </w:r>
            <w:r w:rsidRPr="00A35036">
              <w:rPr>
                <w:rFonts w:ascii="Times New Roman" w:hAnsi="Times New Roman" w:cs="Times New Roman"/>
                <w:color w:val="FF0000"/>
                <w:sz w:val="26"/>
                <w:szCs w:val="26"/>
                <w:lang w:val="pt-PT"/>
              </w:rPr>
              <w:t xml:space="preserve"> </w:t>
            </w:r>
          </w:p>
        </w:tc>
      </w:tr>
      <w:tr w:rsidR="00D2752A" w:rsidRPr="00AC0F10" w14:paraId="25D202A6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CAF7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12. Outras condições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4AA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Indicar outras condições aplicáveis. Caso existam, identificar quaisquer comissões e despesas associadas ao depósito.</w:t>
            </w:r>
          </w:p>
        </w:tc>
      </w:tr>
      <w:tr w:rsidR="00D2752A" w:rsidRPr="00AC0F10" w14:paraId="7E452B27" w14:textId="77777777" w:rsidTr="003F4E6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5833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13. Fundo de Garantia de Depósitos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515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Incluir a seguinte referência:</w:t>
            </w:r>
          </w:p>
          <w:p w14:paraId="638DC5B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“Os depósitos constituídos [no/na] [nome da instituição] beneficiam da garantia de reembolso prestada pelo [nome da(s) entidade(s) do sistema de garantia] sempre que ocorra a indisponibilidade dos depósitos por razões directamente relacionadas com a sua situação financeira.</w:t>
            </w:r>
          </w:p>
          <w:p w14:paraId="50E68CB1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O [nome da entidade do sistema de garantia] garante o reembolso até ao valor máximo de [montante máximo de reembolso e moeda] por cada depositante. </w:t>
            </w:r>
          </w:p>
          <w:p w14:paraId="37B0374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No cálculo do valor dos depósitos de cada depositante, considera-se o valor do conjunto das contas de depósito na data em que se verificou a indisponibilidade de pagamento, incluindo os juros. Para informações complementares consulte o endereço [endereço do(s) correspondente(s) sistema(s) de garantia de depósitos].” </w:t>
            </w:r>
          </w:p>
        </w:tc>
      </w:tr>
      <w:tr w:rsidR="00D2752A" w:rsidRPr="00AC0F10" w14:paraId="06E62B21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95763F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C. Validade das condições da FIND</w:t>
            </w:r>
          </w:p>
        </w:tc>
      </w:tr>
      <w:tr w:rsidR="00D2752A" w:rsidRPr="00AC0F10" w14:paraId="7A2F1569" w14:textId="77777777" w:rsidTr="003F4E6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351B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lastRenderedPageBreak/>
              <w:t>Indicação do período de validade das condições apresentadas na ficha de informação normalizada de depósitos.</w:t>
            </w:r>
          </w:p>
        </w:tc>
      </w:tr>
    </w:tbl>
    <w:p w14:paraId="7B555DB8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</w:pPr>
    </w:p>
    <w:p w14:paraId="14F9505C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3B8C9E48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1CA1073A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689EF217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34BA5B23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6C470E13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7CF3F03A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3553CEB1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6B2D2C3F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3F0765D2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19DA09B9" w14:textId="77777777" w:rsidR="00D2752A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5CB3CF47" w14:textId="77777777" w:rsidR="00D2752A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76147727" w14:textId="77777777" w:rsidR="00DB56B3" w:rsidRDefault="00DB56B3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5610A350" w14:textId="77777777" w:rsidR="00DB56B3" w:rsidRDefault="00DB56B3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1AF275A6" w14:textId="77777777" w:rsidR="00DB56B3" w:rsidRDefault="00DB56B3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0EFA0EFD" w14:textId="77777777" w:rsidR="00DB56B3" w:rsidRDefault="00DB56B3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0FF213EF" w14:textId="3ACABE7A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  <w:t>ANEXO III</w:t>
      </w:r>
    </w:p>
    <w:p w14:paraId="54F3793C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pt-PT"/>
        </w:rPr>
      </w:pPr>
    </w:p>
    <w:p w14:paraId="1B7EE298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bCs/>
          <w:color w:val="000000"/>
          <w:sz w:val="26"/>
          <w:szCs w:val="26"/>
          <w:lang w:val="pt-PT"/>
        </w:rPr>
        <w:t>Ficha de Informação Normalizada para Depósitos</w:t>
      </w:r>
      <w:r w:rsidRPr="00A35036"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  <w:t xml:space="preserve"> </w:t>
      </w:r>
      <w:r w:rsidRPr="00A35036">
        <w:rPr>
          <w:rFonts w:ascii="Times New Roman" w:hAnsi="Times New Roman" w:cs="Times New Roman"/>
          <w:bCs/>
          <w:color w:val="000000"/>
          <w:sz w:val="26"/>
          <w:szCs w:val="26"/>
          <w:lang w:val="pt-PT"/>
        </w:rPr>
        <w:t xml:space="preserve">com pré-aviso e depósitos sem </w:t>
      </w:r>
      <w:r w:rsidRPr="00A35036"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  <w:t xml:space="preserve">mobilização </w:t>
      </w:r>
      <w:r w:rsidRPr="00A35036">
        <w:rPr>
          <w:rFonts w:ascii="Times New Roman" w:hAnsi="Times New Roman" w:cs="Times New Roman"/>
          <w:bCs/>
          <w:color w:val="000000"/>
          <w:sz w:val="26"/>
          <w:szCs w:val="26"/>
          <w:lang w:val="pt-PT"/>
        </w:rPr>
        <w:t>antecipada (FINDP)</w:t>
      </w:r>
      <w:r w:rsidRPr="00A35036"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  <w:t xml:space="preserve"> (</w:t>
      </w:r>
      <w:r w:rsidRPr="00A35036">
        <w:rPr>
          <w:rFonts w:ascii="Times New Roman" w:hAnsi="Times New Roman" w:cs="Times New Roman"/>
          <w:bCs/>
          <w:i/>
          <w:color w:val="000000"/>
          <w:sz w:val="26"/>
          <w:szCs w:val="26"/>
          <w:lang w:val="pt-PT"/>
        </w:rPr>
        <w:t xml:space="preserve">modelo aplicável a depósitos a prazo, depósitos com pré-aviso e depósitos sem </w:t>
      </w:r>
      <w:r w:rsidRPr="00A35036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pt-PT"/>
        </w:rPr>
        <w:t>mobilização</w:t>
      </w:r>
      <w:r w:rsidRPr="00A35036">
        <w:rPr>
          <w:rFonts w:ascii="Times New Roman" w:hAnsi="Times New Roman" w:cs="Times New Roman"/>
          <w:bCs/>
          <w:i/>
          <w:color w:val="000000"/>
          <w:sz w:val="26"/>
          <w:szCs w:val="26"/>
          <w:lang w:val="pt-PT"/>
        </w:rPr>
        <w:t xml:space="preserve"> antecipada)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D2752A" w:rsidRPr="00A35036" w14:paraId="1CABC1D2" w14:textId="77777777" w:rsidTr="003F4E66">
        <w:tc>
          <w:tcPr>
            <w:tcW w:w="9026" w:type="dxa"/>
            <w:gridSpan w:val="2"/>
            <w:shd w:val="clear" w:color="auto" w:fill="7F7F7F"/>
          </w:tcPr>
          <w:p w14:paraId="6DC794FE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A. Elementos de identificação</w:t>
            </w:r>
          </w:p>
        </w:tc>
      </w:tr>
      <w:tr w:rsidR="00D2752A" w:rsidRPr="00A35036" w14:paraId="5B2B33A1" w14:textId="77777777" w:rsidTr="003F4E66">
        <w:tc>
          <w:tcPr>
            <w:tcW w:w="9026" w:type="dxa"/>
            <w:gridSpan w:val="2"/>
            <w:shd w:val="clear" w:color="auto" w:fill="BFBFBF"/>
          </w:tcPr>
          <w:p w14:paraId="04375E5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1. identificação da Instituição Depositária</w:t>
            </w:r>
          </w:p>
        </w:tc>
      </w:tr>
      <w:tr w:rsidR="00D2752A" w:rsidRPr="00AC0F10" w14:paraId="1F2FDCFD" w14:textId="77777777" w:rsidTr="003F4E66">
        <w:tc>
          <w:tcPr>
            <w:tcW w:w="4513" w:type="dxa"/>
            <w:shd w:val="clear" w:color="auto" w:fill="auto"/>
          </w:tcPr>
          <w:p w14:paraId="23688347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1.1 Denominação</w:t>
            </w:r>
          </w:p>
        </w:tc>
        <w:tc>
          <w:tcPr>
            <w:tcW w:w="4513" w:type="dxa"/>
            <w:shd w:val="clear" w:color="auto" w:fill="auto"/>
          </w:tcPr>
          <w:p w14:paraId="7B8101D2" w14:textId="77777777" w:rsidR="00D2752A" w:rsidRPr="00A35036" w:rsidRDefault="00D2752A" w:rsidP="003F4E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(Inserir denominação da Instituição de Crédito)</w:t>
            </w:r>
          </w:p>
        </w:tc>
      </w:tr>
      <w:tr w:rsidR="00D2752A" w:rsidRPr="00AC0F10" w14:paraId="67D6953A" w14:textId="77777777" w:rsidTr="003F4E66">
        <w:tc>
          <w:tcPr>
            <w:tcW w:w="4513" w:type="dxa"/>
            <w:shd w:val="clear" w:color="auto" w:fill="auto"/>
          </w:tcPr>
          <w:p w14:paraId="0A3D8797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1.2 Endereço</w:t>
            </w:r>
          </w:p>
        </w:tc>
        <w:tc>
          <w:tcPr>
            <w:tcW w:w="4513" w:type="dxa"/>
            <w:shd w:val="clear" w:color="auto" w:fill="auto"/>
          </w:tcPr>
          <w:p w14:paraId="75876FB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(Inserir o endereço da Instituição de Crédito)</w:t>
            </w:r>
          </w:p>
        </w:tc>
      </w:tr>
      <w:tr w:rsidR="00D2752A" w:rsidRPr="00AC0F10" w14:paraId="3232FDCB" w14:textId="77777777" w:rsidTr="003F4E66">
        <w:tc>
          <w:tcPr>
            <w:tcW w:w="4513" w:type="dxa"/>
            <w:shd w:val="clear" w:color="auto" w:fill="auto"/>
          </w:tcPr>
          <w:p w14:paraId="2E27BDBE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1.3 Contactos e outras informações</w:t>
            </w:r>
          </w:p>
        </w:tc>
        <w:tc>
          <w:tcPr>
            <w:tcW w:w="4513" w:type="dxa"/>
            <w:shd w:val="clear" w:color="auto" w:fill="auto"/>
          </w:tcPr>
          <w:p w14:paraId="45A6FC8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(Inserir número de telefone, NUIB, NUIT, endereço electrónico, entre outros)</w:t>
            </w:r>
          </w:p>
        </w:tc>
      </w:tr>
      <w:tr w:rsidR="00D2752A" w:rsidRPr="00A35036" w14:paraId="380AA0BE" w14:textId="77777777" w:rsidTr="003F4E66">
        <w:tc>
          <w:tcPr>
            <w:tcW w:w="9026" w:type="dxa"/>
            <w:gridSpan w:val="2"/>
            <w:shd w:val="clear" w:color="auto" w:fill="D9D9D9"/>
          </w:tcPr>
          <w:p w14:paraId="693F2F68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2. Data da FINDP</w:t>
            </w:r>
          </w:p>
        </w:tc>
      </w:tr>
      <w:tr w:rsidR="00D2752A" w:rsidRPr="00AC0F10" w14:paraId="52B7C6C2" w14:textId="77777777" w:rsidTr="003F4E66">
        <w:tc>
          <w:tcPr>
            <w:tcW w:w="9026" w:type="dxa"/>
            <w:gridSpan w:val="2"/>
            <w:shd w:val="clear" w:color="auto" w:fill="auto"/>
          </w:tcPr>
          <w:p w14:paraId="0AC56B73" w14:textId="77777777" w:rsidR="00D2752A" w:rsidRPr="00FD7060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Indicar a data de 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laboração do presente documento</w:t>
            </w:r>
          </w:p>
        </w:tc>
      </w:tr>
      <w:tr w:rsidR="00D2752A" w:rsidRPr="00AC0F10" w14:paraId="0F691DD9" w14:textId="77777777" w:rsidTr="003F4E66">
        <w:tc>
          <w:tcPr>
            <w:tcW w:w="9026" w:type="dxa"/>
            <w:gridSpan w:val="2"/>
            <w:shd w:val="clear" w:color="auto" w:fill="7F7F7F"/>
          </w:tcPr>
          <w:p w14:paraId="6F50F237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B. Descrição das principais características do produto</w:t>
            </w:r>
          </w:p>
        </w:tc>
      </w:tr>
      <w:tr w:rsidR="00D2752A" w:rsidRPr="00AC0F10" w14:paraId="447FEA6D" w14:textId="77777777" w:rsidTr="003F4E66">
        <w:tc>
          <w:tcPr>
            <w:tcW w:w="4513" w:type="dxa"/>
            <w:shd w:val="clear" w:color="auto" w:fill="auto"/>
          </w:tcPr>
          <w:p w14:paraId="4EAAB6AB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1. Designação comercial do produto</w:t>
            </w:r>
          </w:p>
        </w:tc>
        <w:tc>
          <w:tcPr>
            <w:tcW w:w="4513" w:type="dxa"/>
            <w:shd w:val="clear" w:color="auto" w:fill="auto"/>
          </w:tcPr>
          <w:p w14:paraId="062E97B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designação comercial da conta ou depósito)</w:t>
            </w:r>
          </w:p>
        </w:tc>
      </w:tr>
      <w:tr w:rsidR="00D2752A" w:rsidRPr="00AC0F10" w14:paraId="615FD280" w14:textId="77777777" w:rsidTr="003F4E66">
        <w:tc>
          <w:tcPr>
            <w:tcW w:w="4513" w:type="dxa"/>
            <w:shd w:val="clear" w:color="auto" w:fill="auto"/>
          </w:tcPr>
          <w:p w14:paraId="7A513D5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lastRenderedPageBreak/>
              <w:t>2. Condições de acesso</w:t>
            </w:r>
          </w:p>
        </w:tc>
        <w:tc>
          <w:tcPr>
            <w:tcW w:w="4513" w:type="dxa"/>
            <w:shd w:val="clear" w:color="auto" w:fill="auto"/>
          </w:tcPr>
          <w:p w14:paraId="19AB72C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(Descrever as condições de acesso ao produto, se aplicável)</w:t>
            </w:r>
          </w:p>
        </w:tc>
      </w:tr>
      <w:tr w:rsidR="00D2752A" w:rsidRPr="00AC0F10" w14:paraId="7DA00C1B" w14:textId="77777777" w:rsidTr="003F4E66">
        <w:tc>
          <w:tcPr>
            <w:tcW w:w="4513" w:type="dxa"/>
            <w:shd w:val="clear" w:color="auto" w:fill="auto"/>
          </w:tcPr>
          <w:p w14:paraId="341B62E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3. Modalidade</w:t>
            </w:r>
          </w:p>
        </w:tc>
        <w:tc>
          <w:tcPr>
            <w:tcW w:w="4513" w:type="dxa"/>
            <w:shd w:val="clear" w:color="auto" w:fill="auto"/>
          </w:tcPr>
          <w:p w14:paraId="19ADE8B3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a modalidade de movimentação dos fundos)</w:t>
            </w:r>
          </w:p>
          <w:p w14:paraId="3FC4D80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(Caso a modalidade corresponda a um regime especial, descrever o respectivo regime)</w:t>
            </w:r>
          </w:p>
        </w:tc>
      </w:tr>
      <w:tr w:rsidR="00D2752A" w:rsidRPr="00A35036" w14:paraId="3988D5DF" w14:textId="77777777" w:rsidTr="003F4E66">
        <w:tc>
          <w:tcPr>
            <w:tcW w:w="9026" w:type="dxa"/>
            <w:gridSpan w:val="2"/>
            <w:shd w:val="clear" w:color="auto" w:fill="D9D9D9"/>
          </w:tcPr>
          <w:p w14:paraId="7FFD754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4. Prazo</w:t>
            </w:r>
          </w:p>
        </w:tc>
      </w:tr>
      <w:tr w:rsidR="00D2752A" w:rsidRPr="00AC0F10" w14:paraId="606AC059" w14:textId="77777777" w:rsidTr="003F4E66">
        <w:tc>
          <w:tcPr>
            <w:tcW w:w="4513" w:type="dxa"/>
            <w:shd w:val="clear" w:color="auto" w:fill="auto"/>
          </w:tcPr>
          <w:p w14:paraId="5181A4F3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4.1 Data de início</w:t>
            </w:r>
          </w:p>
        </w:tc>
        <w:tc>
          <w:tcPr>
            <w:tcW w:w="4513" w:type="dxa"/>
            <w:shd w:val="clear" w:color="auto" w:fill="auto"/>
          </w:tcPr>
          <w:p w14:paraId="75A1EF6B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data de início)</w:t>
            </w:r>
          </w:p>
        </w:tc>
      </w:tr>
      <w:tr w:rsidR="00D2752A" w:rsidRPr="00AC0F10" w14:paraId="25D5DED7" w14:textId="77777777" w:rsidTr="003F4E66">
        <w:tc>
          <w:tcPr>
            <w:tcW w:w="4513" w:type="dxa"/>
            <w:shd w:val="clear" w:color="auto" w:fill="auto"/>
          </w:tcPr>
          <w:p w14:paraId="7A62067F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4.2 Data de vencimento</w:t>
            </w:r>
          </w:p>
        </w:tc>
        <w:tc>
          <w:tcPr>
            <w:tcW w:w="4513" w:type="dxa"/>
            <w:shd w:val="clear" w:color="auto" w:fill="auto"/>
          </w:tcPr>
          <w:p w14:paraId="1DA0331F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data de vencimento)</w:t>
            </w:r>
          </w:p>
        </w:tc>
      </w:tr>
      <w:tr w:rsidR="00D2752A" w:rsidRPr="00AC0F10" w14:paraId="47597FDC" w14:textId="77777777" w:rsidTr="003F4E66">
        <w:tc>
          <w:tcPr>
            <w:tcW w:w="4513" w:type="dxa"/>
            <w:shd w:val="clear" w:color="auto" w:fill="auto"/>
          </w:tcPr>
          <w:p w14:paraId="18D2A8E3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4.3 Data do reembolso do capital</w:t>
            </w:r>
          </w:p>
        </w:tc>
        <w:tc>
          <w:tcPr>
            <w:tcW w:w="4513" w:type="dxa"/>
            <w:shd w:val="clear" w:color="auto" w:fill="auto"/>
          </w:tcPr>
          <w:p w14:paraId="64A5CA94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data do reembolso do capital)</w:t>
            </w:r>
          </w:p>
        </w:tc>
      </w:tr>
      <w:tr w:rsidR="00D2752A" w:rsidRPr="00A35036" w14:paraId="1F55C01A" w14:textId="77777777" w:rsidTr="003F4E66">
        <w:tc>
          <w:tcPr>
            <w:tcW w:w="9026" w:type="dxa"/>
            <w:gridSpan w:val="2"/>
            <w:shd w:val="clear" w:color="auto" w:fill="D9D9D9"/>
          </w:tcPr>
          <w:p w14:paraId="4F8AEA92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5. Mobilização antecipada</w:t>
            </w:r>
          </w:p>
        </w:tc>
      </w:tr>
      <w:tr w:rsidR="00D2752A" w:rsidRPr="00AC0F10" w14:paraId="35AE2CB7" w14:textId="77777777" w:rsidTr="003F4E66">
        <w:tc>
          <w:tcPr>
            <w:tcW w:w="4513" w:type="dxa"/>
            <w:shd w:val="clear" w:color="auto" w:fill="auto"/>
          </w:tcPr>
          <w:p w14:paraId="37B76FD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5.1 Condições de mobilização, no caso de depósitos com pré-aviso</w:t>
            </w:r>
          </w:p>
        </w:tc>
        <w:tc>
          <w:tcPr>
            <w:tcW w:w="4513" w:type="dxa"/>
            <w:shd w:val="clear" w:color="auto" w:fill="auto"/>
          </w:tcPr>
          <w:p w14:paraId="134ABFD6" w14:textId="77777777" w:rsidR="00D2752A" w:rsidRPr="00FD7060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(Descrever as condições de mobilização antecipada dos fundos, se permitida -designadamente, se é permitida a mobilização parcial ou total, e a qualquer momento ou em datas pré-determin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adas).</w:t>
            </w:r>
          </w:p>
        </w:tc>
      </w:tr>
      <w:tr w:rsidR="00D2752A" w:rsidRPr="00AC0F10" w14:paraId="7667066D" w14:textId="77777777" w:rsidTr="003F4E66">
        <w:tc>
          <w:tcPr>
            <w:tcW w:w="4513" w:type="dxa"/>
            <w:shd w:val="clear" w:color="auto" w:fill="auto"/>
          </w:tcPr>
          <w:p w14:paraId="75F63641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5.2 Mobilização antecipada e penalizações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 </w:t>
            </w: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(se aplicável)</w:t>
            </w:r>
          </w:p>
        </w:tc>
        <w:tc>
          <w:tcPr>
            <w:tcW w:w="4513" w:type="dxa"/>
            <w:shd w:val="clear" w:color="auto" w:fill="auto"/>
          </w:tcPr>
          <w:p w14:paraId="018C4A4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(Se houver lugar a penalizações pela mobilização antecipada, descrever a respectiva forma de cálculo)</w:t>
            </w:r>
          </w:p>
          <w:p w14:paraId="7E0A90EE" w14:textId="37CE553E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(Caso se trate de um depósito não mobilizável antecipadamente, mencionar expressamente que não é admitida a mobilização antecipada dos fundos</w:t>
            </w:r>
            <w:r w:rsidR="00DB56B3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, devendo ser indicado o referido prazo para a não mobilização.</w:t>
            </w: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)</w:t>
            </w:r>
          </w:p>
        </w:tc>
      </w:tr>
      <w:tr w:rsidR="00D2752A" w:rsidRPr="00A35036" w14:paraId="4D7E7B58" w14:textId="77777777" w:rsidTr="003F4E66">
        <w:tc>
          <w:tcPr>
            <w:tcW w:w="9026" w:type="dxa"/>
            <w:gridSpan w:val="2"/>
            <w:shd w:val="clear" w:color="auto" w:fill="D9D9D9"/>
          </w:tcPr>
          <w:p w14:paraId="696E74A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6. Renovação</w:t>
            </w:r>
          </w:p>
        </w:tc>
      </w:tr>
      <w:tr w:rsidR="00D2752A" w:rsidRPr="00AC0F10" w14:paraId="0B17C3BB" w14:textId="77777777" w:rsidTr="003F4E66">
        <w:tc>
          <w:tcPr>
            <w:tcW w:w="4513" w:type="dxa"/>
            <w:shd w:val="clear" w:color="auto" w:fill="auto"/>
          </w:tcPr>
          <w:p w14:paraId="084EB3CB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6.1 Tipo </w:t>
            </w:r>
          </w:p>
        </w:tc>
        <w:tc>
          <w:tcPr>
            <w:tcW w:w="4513" w:type="dxa"/>
            <w:shd w:val="clear" w:color="auto" w:fill="auto"/>
          </w:tcPr>
          <w:p w14:paraId="4E54178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se é automática ou opcional. Sendo opcional, indicar também os prazos e a forma de exercício da opção pelo depositante)</w:t>
            </w:r>
          </w:p>
        </w:tc>
      </w:tr>
      <w:tr w:rsidR="00D2752A" w:rsidRPr="00AC0F10" w14:paraId="16E38DEA" w14:textId="77777777" w:rsidTr="003F4E66">
        <w:tc>
          <w:tcPr>
            <w:tcW w:w="4513" w:type="dxa"/>
            <w:shd w:val="clear" w:color="auto" w:fill="auto"/>
          </w:tcPr>
          <w:p w14:paraId="29BC920F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6.2 Condições </w:t>
            </w:r>
          </w:p>
        </w:tc>
        <w:tc>
          <w:tcPr>
            <w:tcW w:w="4513" w:type="dxa"/>
            <w:shd w:val="clear" w:color="auto" w:fill="auto"/>
          </w:tcPr>
          <w:p w14:paraId="423C1AF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as condições aplicáveis à renovação)</w:t>
            </w:r>
          </w:p>
        </w:tc>
      </w:tr>
      <w:tr w:rsidR="00D2752A" w:rsidRPr="00A35036" w14:paraId="3CD2F58A" w14:textId="77777777" w:rsidTr="003F4E66">
        <w:tc>
          <w:tcPr>
            <w:tcW w:w="9026" w:type="dxa"/>
            <w:gridSpan w:val="2"/>
            <w:shd w:val="clear" w:color="auto" w:fill="D9D9D9"/>
          </w:tcPr>
          <w:p w14:paraId="32C7FA1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7. Moeda</w:t>
            </w:r>
          </w:p>
        </w:tc>
      </w:tr>
      <w:tr w:rsidR="00D2752A" w:rsidRPr="00AC0F10" w14:paraId="3AE7F5E6" w14:textId="77777777" w:rsidTr="003F4E66">
        <w:tc>
          <w:tcPr>
            <w:tcW w:w="9026" w:type="dxa"/>
            <w:gridSpan w:val="2"/>
            <w:shd w:val="clear" w:color="auto" w:fill="auto"/>
          </w:tcPr>
          <w:p w14:paraId="04228228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moeda do depósito)</w:t>
            </w:r>
          </w:p>
        </w:tc>
      </w:tr>
      <w:tr w:rsidR="00D2752A" w:rsidRPr="00A35036" w14:paraId="4AF6EE03" w14:textId="77777777" w:rsidTr="003F4E66">
        <w:trPr>
          <w:trHeight w:val="387"/>
        </w:trPr>
        <w:tc>
          <w:tcPr>
            <w:tcW w:w="9026" w:type="dxa"/>
            <w:gridSpan w:val="2"/>
            <w:shd w:val="clear" w:color="auto" w:fill="D9D9D9"/>
          </w:tcPr>
          <w:p w14:paraId="6FD14953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8. Constituição do depósito</w:t>
            </w:r>
          </w:p>
        </w:tc>
      </w:tr>
      <w:tr w:rsidR="00D2752A" w:rsidRPr="00AC0F10" w14:paraId="65BFD465" w14:textId="77777777" w:rsidTr="003F4E66">
        <w:tc>
          <w:tcPr>
            <w:tcW w:w="4513" w:type="dxa"/>
            <w:shd w:val="clear" w:color="auto" w:fill="auto"/>
          </w:tcPr>
          <w:p w14:paraId="7E15C27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8.1 </w:t>
            </w: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Montante mínimo</w:t>
            </w:r>
          </w:p>
        </w:tc>
        <w:tc>
          <w:tcPr>
            <w:tcW w:w="4513" w:type="dxa"/>
            <w:shd w:val="clear" w:color="auto" w:fill="auto"/>
          </w:tcPr>
          <w:p w14:paraId="23D2B6E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o montante mí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nimo do depósito, se aplicável)</w:t>
            </w:r>
          </w:p>
        </w:tc>
      </w:tr>
      <w:tr w:rsidR="00D2752A" w:rsidRPr="00AC0F10" w14:paraId="4C06A1E7" w14:textId="77777777" w:rsidTr="003F4E66">
        <w:tc>
          <w:tcPr>
            <w:tcW w:w="4513" w:type="dxa"/>
            <w:shd w:val="clear" w:color="auto" w:fill="auto"/>
          </w:tcPr>
          <w:p w14:paraId="0B44190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8.2 </w:t>
            </w: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 xml:space="preserve">Montante máximo </w:t>
            </w:r>
          </w:p>
        </w:tc>
        <w:tc>
          <w:tcPr>
            <w:tcW w:w="4513" w:type="dxa"/>
            <w:shd w:val="clear" w:color="auto" w:fill="auto"/>
          </w:tcPr>
          <w:p w14:paraId="4E8128C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o montante máx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imo do depósito, se aplicável) </w:t>
            </w:r>
          </w:p>
        </w:tc>
      </w:tr>
      <w:tr w:rsidR="00D2752A" w:rsidRPr="00A35036" w14:paraId="1AC3C952" w14:textId="77777777" w:rsidTr="003F4E66">
        <w:tc>
          <w:tcPr>
            <w:tcW w:w="4513" w:type="dxa"/>
            <w:shd w:val="clear" w:color="auto" w:fill="auto"/>
          </w:tcPr>
          <w:p w14:paraId="357DF090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9. Reforços (se aplicável)</w:t>
            </w:r>
          </w:p>
        </w:tc>
        <w:tc>
          <w:tcPr>
            <w:tcW w:w="4513" w:type="dxa"/>
            <w:shd w:val="clear" w:color="auto" w:fill="auto"/>
          </w:tcPr>
          <w:p w14:paraId="3B828F64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</w:p>
        </w:tc>
      </w:tr>
      <w:tr w:rsidR="00D2752A" w:rsidRPr="00AC0F10" w14:paraId="2A3361D9" w14:textId="77777777" w:rsidTr="003F4E66">
        <w:tc>
          <w:tcPr>
            <w:tcW w:w="4513" w:type="dxa"/>
            <w:shd w:val="clear" w:color="auto" w:fill="auto"/>
          </w:tcPr>
          <w:p w14:paraId="640F0808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9.1 </w:t>
            </w: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Montante mínimo</w:t>
            </w:r>
          </w:p>
        </w:tc>
        <w:tc>
          <w:tcPr>
            <w:tcW w:w="4513" w:type="dxa"/>
            <w:shd w:val="clear" w:color="auto" w:fill="auto"/>
          </w:tcPr>
          <w:p w14:paraId="2FB4126B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o montant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e mínimo de reforço do capital)</w:t>
            </w:r>
          </w:p>
        </w:tc>
      </w:tr>
      <w:tr w:rsidR="00D2752A" w:rsidRPr="00AC0F10" w14:paraId="19E51DC2" w14:textId="77777777" w:rsidTr="003F4E66">
        <w:tc>
          <w:tcPr>
            <w:tcW w:w="4513" w:type="dxa"/>
            <w:shd w:val="clear" w:color="auto" w:fill="auto"/>
          </w:tcPr>
          <w:p w14:paraId="103D868B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9.2 </w:t>
            </w:r>
            <w:r w:rsidRPr="00A35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PT"/>
              </w:rPr>
              <w:t>Montante máximo</w:t>
            </w:r>
          </w:p>
        </w:tc>
        <w:tc>
          <w:tcPr>
            <w:tcW w:w="4513" w:type="dxa"/>
            <w:shd w:val="clear" w:color="auto" w:fill="auto"/>
          </w:tcPr>
          <w:p w14:paraId="235F4BA1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o montante máximo de reforço do capital)</w:t>
            </w:r>
          </w:p>
        </w:tc>
      </w:tr>
      <w:tr w:rsidR="00D2752A" w:rsidRPr="00AC0F10" w14:paraId="5EF9AF9F" w14:textId="77777777" w:rsidTr="003F4E66">
        <w:tc>
          <w:tcPr>
            <w:tcW w:w="4513" w:type="dxa"/>
            <w:shd w:val="clear" w:color="auto" w:fill="auto"/>
          </w:tcPr>
          <w:p w14:paraId="05B34CC9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9.3 Periodicidade </w:t>
            </w:r>
          </w:p>
        </w:tc>
        <w:tc>
          <w:tcPr>
            <w:tcW w:w="4513" w:type="dxa"/>
            <w:shd w:val="clear" w:color="auto" w:fill="auto"/>
          </w:tcPr>
          <w:p w14:paraId="4A955C10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a periodicidade de entrega adicional de fundos)</w:t>
            </w:r>
          </w:p>
        </w:tc>
      </w:tr>
      <w:tr w:rsidR="00D2752A" w:rsidRPr="00AC0F10" w14:paraId="3C99A89C" w14:textId="77777777" w:rsidTr="003F4E66">
        <w:tc>
          <w:tcPr>
            <w:tcW w:w="4513" w:type="dxa"/>
            <w:shd w:val="clear" w:color="auto" w:fill="auto"/>
          </w:tcPr>
          <w:p w14:paraId="2BD3507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9.4 Entrega</w:t>
            </w:r>
          </w:p>
        </w:tc>
        <w:tc>
          <w:tcPr>
            <w:tcW w:w="4513" w:type="dxa"/>
            <w:shd w:val="clear" w:color="auto" w:fill="auto"/>
          </w:tcPr>
          <w:p w14:paraId="64C38A33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o método de reforço)</w:t>
            </w:r>
          </w:p>
        </w:tc>
      </w:tr>
      <w:tr w:rsidR="00D2752A" w:rsidRPr="00A35036" w14:paraId="343C5CA7" w14:textId="77777777" w:rsidTr="003F4E66">
        <w:tc>
          <w:tcPr>
            <w:tcW w:w="9026" w:type="dxa"/>
            <w:gridSpan w:val="2"/>
            <w:shd w:val="clear" w:color="auto" w:fill="D9D9D9"/>
          </w:tcPr>
          <w:p w14:paraId="6DE63998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10. Remuneração </w:t>
            </w:r>
          </w:p>
        </w:tc>
      </w:tr>
      <w:tr w:rsidR="00D2752A" w:rsidRPr="00AC0F10" w14:paraId="31759DA1" w14:textId="77777777" w:rsidTr="003F4E66">
        <w:tc>
          <w:tcPr>
            <w:tcW w:w="4513" w:type="dxa"/>
            <w:shd w:val="clear" w:color="auto" w:fill="auto"/>
          </w:tcPr>
          <w:p w14:paraId="0ABB43D2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lastRenderedPageBreak/>
              <w:t>10.1 TANB</w:t>
            </w:r>
          </w:p>
        </w:tc>
        <w:tc>
          <w:tcPr>
            <w:tcW w:w="4513" w:type="dxa"/>
            <w:shd w:val="clear" w:color="auto" w:fill="auto"/>
          </w:tcPr>
          <w:p w14:paraId="4D2577E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TANB. Se ocorrerem duas ou mais taxas de juro ao longo da vida do depósito, indicar a TANB média ponderada)</w:t>
            </w:r>
          </w:p>
        </w:tc>
      </w:tr>
      <w:tr w:rsidR="00D2752A" w:rsidRPr="00AC0F10" w14:paraId="0CF6F036" w14:textId="77777777" w:rsidTr="003F4E66">
        <w:tc>
          <w:tcPr>
            <w:tcW w:w="4513" w:type="dxa"/>
            <w:shd w:val="clear" w:color="auto" w:fill="auto"/>
          </w:tcPr>
          <w:p w14:paraId="082CF29F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10.2 TANL</w:t>
            </w:r>
          </w:p>
        </w:tc>
        <w:tc>
          <w:tcPr>
            <w:tcW w:w="4513" w:type="dxa"/>
            <w:shd w:val="clear" w:color="auto" w:fill="auto"/>
          </w:tcPr>
          <w:p w14:paraId="3F647C07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TANL. Se ocorrerem duas ou mais taxas de juro ao longo da vida do depósito, indicar a TANL média ponderada)</w:t>
            </w:r>
          </w:p>
        </w:tc>
      </w:tr>
      <w:tr w:rsidR="00D2752A" w:rsidRPr="00AC0F10" w14:paraId="037D71A3" w14:textId="77777777" w:rsidTr="003F4E66">
        <w:tc>
          <w:tcPr>
            <w:tcW w:w="4513" w:type="dxa"/>
            <w:shd w:val="clear" w:color="auto" w:fill="auto"/>
          </w:tcPr>
          <w:p w14:paraId="786A0F0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10.3 TAE</w:t>
            </w:r>
          </w:p>
        </w:tc>
        <w:tc>
          <w:tcPr>
            <w:tcW w:w="4513" w:type="dxa"/>
            <w:shd w:val="clear" w:color="auto" w:fill="auto"/>
          </w:tcPr>
          <w:p w14:paraId="17CF36FE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TAE, quando exista capitalização de juros)</w:t>
            </w:r>
          </w:p>
        </w:tc>
      </w:tr>
      <w:tr w:rsidR="00D2752A" w:rsidRPr="00AC0F10" w14:paraId="2500BD72" w14:textId="77777777" w:rsidTr="003F4E66">
        <w:tc>
          <w:tcPr>
            <w:tcW w:w="9026" w:type="dxa"/>
            <w:gridSpan w:val="2"/>
            <w:shd w:val="clear" w:color="auto" w:fill="D9D9D9"/>
          </w:tcPr>
          <w:p w14:paraId="7E7D3900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10.4  Remuneração a taxa variável (se aplicável)</w:t>
            </w:r>
          </w:p>
        </w:tc>
      </w:tr>
      <w:tr w:rsidR="00D2752A" w:rsidRPr="00AC0F10" w14:paraId="1BB904F2" w14:textId="77777777" w:rsidTr="003F4E66">
        <w:tc>
          <w:tcPr>
            <w:tcW w:w="4513" w:type="dxa"/>
            <w:shd w:val="clear" w:color="auto" w:fill="auto"/>
          </w:tcPr>
          <w:p w14:paraId="28708F6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10.4.1 Indexante</w:t>
            </w:r>
          </w:p>
        </w:tc>
        <w:tc>
          <w:tcPr>
            <w:tcW w:w="4513" w:type="dxa"/>
            <w:shd w:val="clear" w:color="auto" w:fill="auto"/>
          </w:tcPr>
          <w:p w14:paraId="013A968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(Indicar o indexante e as respectivas fontes de publicação e a data relevante.) </w:t>
            </w:r>
          </w:p>
          <w:p w14:paraId="3FAE45D0" w14:textId="77777777" w:rsidR="00D2752A" w:rsidRPr="00FD7060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(Apresentação de forma gráfica, da evolução do valor do indexante por um período que inclua,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 no mínimo, os últimos 6 meses)</w:t>
            </w:r>
          </w:p>
        </w:tc>
      </w:tr>
      <w:tr w:rsidR="00D2752A" w:rsidRPr="00AC0F10" w14:paraId="2CD06DA4" w14:textId="77777777" w:rsidTr="003F4E66">
        <w:tc>
          <w:tcPr>
            <w:tcW w:w="4513" w:type="dxa"/>
            <w:shd w:val="clear" w:color="auto" w:fill="auto"/>
          </w:tcPr>
          <w:p w14:paraId="23FF88B0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10.4.2 Frequência de revisão</w:t>
            </w:r>
          </w:p>
        </w:tc>
        <w:tc>
          <w:tcPr>
            <w:tcW w:w="4513" w:type="dxa"/>
            <w:shd w:val="clear" w:color="auto" w:fill="auto"/>
          </w:tcPr>
          <w:p w14:paraId="1D2B9A70" w14:textId="77777777" w:rsidR="00D2752A" w:rsidRPr="00FD7060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a frequênci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a da revisão da taxa variável) </w:t>
            </w:r>
          </w:p>
        </w:tc>
      </w:tr>
      <w:tr w:rsidR="00D2752A" w:rsidRPr="00AC0F10" w14:paraId="39D80100" w14:textId="77777777" w:rsidTr="003F4E66">
        <w:tc>
          <w:tcPr>
            <w:tcW w:w="4513" w:type="dxa"/>
            <w:shd w:val="clear" w:color="auto" w:fill="auto"/>
          </w:tcPr>
          <w:p w14:paraId="530AF3D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10.4.4 Forma de arredondamento (se aplicável)</w:t>
            </w:r>
          </w:p>
        </w:tc>
        <w:tc>
          <w:tcPr>
            <w:tcW w:w="4513" w:type="dxa"/>
            <w:shd w:val="clear" w:color="auto" w:fill="auto"/>
          </w:tcPr>
          <w:p w14:paraId="6639289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(Descrever a forma de arredondamento da taxa)</w:t>
            </w:r>
          </w:p>
        </w:tc>
      </w:tr>
      <w:tr w:rsidR="00D2752A" w:rsidRPr="00A35036" w14:paraId="7AF8F58A" w14:textId="77777777" w:rsidTr="003F4E66">
        <w:tc>
          <w:tcPr>
            <w:tcW w:w="9026" w:type="dxa"/>
            <w:gridSpan w:val="2"/>
            <w:shd w:val="clear" w:color="auto" w:fill="D9D9D9"/>
          </w:tcPr>
          <w:p w14:paraId="2EAB4168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11. Regime de capitalização</w:t>
            </w:r>
          </w:p>
        </w:tc>
      </w:tr>
      <w:tr w:rsidR="00D2752A" w:rsidRPr="00AC0F10" w14:paraId="3228F3FF" w14:textId="77777777" w:rsidTr="003F4E66">
        <w:tc>
          <w:tcPr>
            <w:tcW w:w="4513" w:type="dxa"/>
            <w:shd w:val="clear" w:color="auto" w:fill="auto"/>
          </w:tcPr>
          <w:p w14:paraId="3BF0A944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11.1 Tipo   </w:t>
            </w:r>
          </w:p>
        </w:tc>
        <w:tc>
          <w:tcPr>
            <w:tcW w:w="4513" w:type="dxa"/>
            <w:shd w:val="clear" w:color="auto" w:fill="auto"/>
          </w:tcPr>
          <w:p w14:paraId="1A9A728B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se é automática ou opcional. Sendo opcional, indicar os prazos e a forma de exercício da opção pelo depositante)</w:t>
            </w:r>
          </w:p>
        </w:tc>
      </w:tr>
      <w:tr w:rsidR="00D2752A" w:rsidRPr="00A35036" w14:paraId="434BF2F0" w14:textId="77777777" w:rsidTr="003F4E66">
        <w:tc>
          <w:tcPr>
            <w:tcW w:w="4513" w:type="dxa"/>
            <w:shd w:val="clear" w:color="auto" w:fill="auto"/>
          </w:tcPr>
          <w:p w14:paraId="68254BA3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11.2 Periodicidade</w:t>
            </w:r>
          </w:p>
        </w:tc>
        <w:tc>
          <w:tcPr>
            <w:tcW w:w="4513" w:type="dxa"/>
            <w:shd w:val="clear" w:color="auto" w:fill="auto"/>
          </w:tcPr>
          <w:p w14:paraId="79D3896C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a periodicidade)</w:t>
            </w:r>
          </w:p>
        </w:tc>
      </w:tr>
      <w:tr w:rsidR="00D2752A" w:rsidRPr="00A35036" w14:paraId="3200C2DF" w14:textId="77777777" w:rsidTr="003F4E66">
        <w:tc>
          <w:tcPr>
            <w:tcW w:w="9026" w:type="dxa"/>
            <w:gridSpan w:val="2"/>
            <w:shd w:val="clear" w:color="auto" w:fill="D9D9D9"/>
          </w:tcPr>
          <w:p w14:paraId="53B3C10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12. Cálculo de juros</w:t>
            </w:r>
          </w:p>
        </w:tc>
      </w:tr>
      <w:tr w:rsidR="00D2752A" w:rsidRPr="00AC0F10" w14:paraId="64F31DEE" w14:textId="77777777" w:rsidTr="003F4E66">
        <w:tc>
          <w:tcPr>
            <w:tcW w:w="4513" w:type="dxa"/>
            <w:shd w:val="clear" w:color="auto" w:fill="auto"/>
          </w:tcPr>
          <w:p w14:paraId="6240A79F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12.1 Descrição </w:t>
            </w:r>
          </w:p>
        </w:tc>
        <w:tc>
          <w:tcPr>
            <w:tcW w:w="4513" w:type="dxa"/>
            <w:shd w:val="clear" w:color="auto" w:fill="auto"/>
          </w:tcPr>
          <w:p w14:paraId="656B6AF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(Descrever a forma de cálculo dos juros)</w:t>
            </w:r>
          </w:p>
        </w:tc>
      </w:tr>
      <w:tr w:rsidR="00D2752A" w:rsidRPr="00AC0F10" w14:paraId="45CBB7D4" w14:textId="77777777" w:rsidTr="003F4E66">
        <w:tc>
          <w:tcPr>
            <w:tcW w:w="4513" w:type="dxa"/>
            <w:shd w:val="clear" w:color="auto" w:fill="auto"/>
          </w:tcPr>
          <w:p w14:paraId="5DD02700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12.2 Cálculo e forma de arredondamento                    </w:t>
            </w:r>
          </w:p>
        </w:tc>
        <w:tc>
          <w:tcPr>
            <w:tcW w:w="4513" w:type="dxa"/>
            <w:shd w:val="clear" w:color="auto" w:fill="auto"/>
          </w:tcPr>
          <w:p w14:paraId="1575084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t-PT"/>
              </w:rPr>
              <w:t>(Indicar a fórmula de cálculo e o método de arredondamento)</w:t>
            </w:r>
          </w:p>
        </w:tc>
      </w:tr>
      <w:tr w:rsidR="00D2752A" w:rsidRPr="00AC0F10" w14:paraId="19167634" w14:textId="77777777" w:rsidTr="003F4E66">
        <w:tc>
          <w:tcPr>
            <w:tcW w:w="4513" w:type="dxa"/>
            <w:shd w:val="clear" w:color="auto" w:fill="auto"/>
          </w:tcPr>
          <w:p w14:paraId="33581BA7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12.3 Cálculo com base num saldo médio </w:t>
            </w:r>
          </w:p>
        </w:tc>
        <w:tc>
          <w:tcPr>
            <w:tcW w:w="4513" w:type="dxa"/>
            <w:shd w:val="clear" w:color="auto" w:fill="auto"/>
          </w:tcPr>
          <w:p w14:paraId="5629B520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o método de cálculo com base num saldo médio)</w:t>
            </w:r>
          </w:p>
        </w:tc>
      </w:tr>
      <w:tr w:rsidR="00D2752A" w:rsidRPr="00A35036" w14:paraId="4D9CB859" w14:textId="77777777" w:rsidTr="003F4E66">
        <w:tc>
          <w:tcPr>
            <w:tcW w:w="9026" w:type="dxa"/>
            <w:gridSpan w:val="2"/>
            <w:shd w:val="clear" w:color="auto" w:fill="D9D9D9"/>
          </w:tcPr>
          <w:p w14:paraId="0DC159BF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13. Pagamento de juros</w:t>
            </w:r>
          </w:p>
        </w:tc>
      </w:tr>
      <w:tr w:rsidR="00D2752A" w:rsidRPr="00AC0F10" w14:paraId="4A1D1786" w14:textId="77777777" w:rsidTr="003F4E66">
        <w:tc>
          <w:tcPr>
            <w:tcW w:w="4513" w:type="dxa"/>
            <w:shd w:val="clear" w:color="auto" w:fill="auto"/>
          </w:tcPr>
          <w:p w14:paraId="1058FE82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13.1 Data de pagamento </w:t>
            </w:r>
          </w:p>
        </w:tc>
        <w:tc>
          <w:tcPr>
            <w:tcW w:w="4513" w:type="dxa"/>
            <w:shd w:val="clear" w:color="auto" w:fill="auto"/>
          </w:tcPr>
          <w:p w14:paraId="41288257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data de pagamento dos juros)</w:t>
            </w:r>
          </w:p>
        </w:tc>
      </w:tr>
      <w:tr w:rsidR="00D2752A" w:rsidRPr="00AC0F10" w14:paraId="20291ECF" w14:textId="77777777" w:rsidTr="003F4E66">
        <w:tc>
          <w:tcPr>
            <w:tcW w:w="4513" w:type="dxa"/>
            <w:shd w:val="clear" w:color="auto" w:fill="auto"/>
          </w:tcPr>
          <w:p w14:paraId="591C5A4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13.2 Forma de pagamento</w:t>
            </w:r>
          </w:p>
        </w:tc>
        <w:tc>
          <w:tcPr>
            <w:tcW w:w="4513" w:type="dxa"/>
            <w:shd w:val="clear" w:color="auto" w:fill="auto"/>
          </w:tcPr>
          <w:p w14:paraId="2FC1280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(Explicitar a forma de pagamento dos juros)</w:t>
            </w:r>
          </w:p>
        </w:tc>
      </w:tr>
      <w:tr w:rsidR="00D2752A" w:rsidRPr="00A35036" w14:paraId="79DD49EF" w14:textId="77777777" w:rsidTr="003F4E66">
        <w:tc>
          <w:tcPr>
            <w:tcW w:w="9026" w:type="dxa"/>
            <w:gridSpan w:val="2"/>
            <w:shd w:val="clear" w:color="auto" w:fill="D9D9D9"/>
          </w:tcPr>
          <w:p w14:paraId="648FC09E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14. Regime fiscal</w:t>
            </w:r>
          </w:p>
        </w:tc>
      </w:tr>
      <w:tr w:rsidR="00D2752A" w:rsidRPr="00AC0F10" w14:paraId="3B9368FC" w14:textId="77777777" w:rsidTr="003F4E66">
        <w:tc>
          <w:tcPr>
            <w:tcW w:w="9026" w:type="dxa"/>
            <w:gridSpan w:val="2"/>
            <w:shd w:val="clear" w:color="auto" w:fill="auto"/>
          </w:tcPr>
          <w:p w14:paraId="396A3C2D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(Incluir descrição do regime fiscal aplicável e conhecido à data da comercialização: “Juros passíveis de [IRPS/IRPC] à taxa de [x%]” ou “Juros isentos de [IRPS/IRPC] (especificando as condições)”; “Comissão/despesa [identificar comissão/despesa] sujeita a [Imp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osto de selo] à taxa de [x%]”).</w:t>
            </w:r>
          </w:p>
        </w:tc>
      </w:tr>
      <w:tr w:rsidR="00D2752A" w:rsidRPr="00A35036" w14:paraId="2EF01F91" w14:textId="77777777" w:rsidTr="003F4E66">
        <w:tc>
          <w:tcPr>
            <w:tcW w:w="9026" w:type="dxa"/>
            <w:gridSpan w:val="2"/>
            <w:shd w:val="clear" w:color="auto" w:fill="D9D9D9"/>
          </w:tcPr>
          <w:p w14:paraId="212F4ED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15. Outras condições</w:t>
            </w:r>
          </w:p>
        </w:tc>
      </w:tr>
      <w:tr w:rsidR="00D2752A" w:rsidRPr="00AC0F10" w14:paraId="572E4180" w14:textId="77777777" w:rsidTr="003F4E66">
        <w:tc>
          <w:tcPr>
            <w:tcW w:w="9026" w:type="dxa"/>
            <w:gridSpan w:val="2"/>
            <w:shd w:val="clear" w:color="auto" w:fill="auto"/>
          </w:tcPr>
          <w:p w14:paraId="4CF7BD84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(Incluir outras condições aplicáveis. Caso existam, identificar e quantificar quaisquer comissões e d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espesas associadas ao depósito)</w:t>
            </w:r>
          </w:p>
        </w:tc>
      </w:tr>
      <w:tr w:rsidR="00D2752A" w:rsidRPr="00A35036" w14:paraId="50BEDAD1" w14:textId="77777777" w:rsidTr="003F4E66">
        <w:tc>
          <w:tcPr>
            <w:tcW w:w="9026" w:type="dxa"/>
            <w:gridSpan w:val="2"/>
            <w:shd w:val="clear" w:color="auto" w:fill="D9D9D9"/>
          </w:tcPr>
          <w:p w14:paraId="2493AF7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16. Garantia de capital</w:t>
            </w:r>
          </w:p>
        </w:tc>
      </w:tr>
      <w:tr w:rsidR="00D2752A" w:rsidRPr="00AC0F10" w14:paraId="7E2EB9AB" w14:textId="77777777" w:rsidTr="003F4E66">
        <w:tc>
          <w:tcPr>
            <w:tcW w:w="9026" w:type="dxa"/>
            <w:gridSpan w:val="2"/>
            <w:shd w:val="clear" w:color="auto" w:fill="auto"/>
          </w:tcPr>
          <w:p w14:paraId="44DD706C" w14:textId="44AD4765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expressamente a existência de garantia para a totalidade do capital depositado, no vencimento e em caso de mobilização an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tecipada</w:t>
            </w:r>
            <w:r w:rsidR="00DB56B3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)</w:t>
            </w:r>
          </w:p>
        </w:tc>
      </w:tr>
      <w:tr w:rsidR="00D2752A" w:rsidRPr="00AC0F10" w14:paraId="5A16D046" w14:textId="77777777" w:rsidTr="003F4E66">
        <w:tc>
          <w:tcPr>
            <w:tcW w:w="4513" w:type="dxa"/>
            <w:shd w:val="clear" w:color="auto" w:fill="auto"/>
          </w:tcPr>
          <w:p w14:paraId="6195DE8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lastRenderedPageBreak/>
              <w:t>17. Fundo de Garantia de Depósitos</w:t>
            </w:r>
          </w:p>
        </w:tc>
        <w:tc>
          <w:tcPr>
            <w:tcW w:w="4513" w:type="dxa"/>
            <w:shd w:val="clear" w:color="auto" w:fill="auto"/>
          </w:tcPr>
          <w:p w14:paraId="4D873311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(Incluir a seguinte referência:</w:t>
            </w:r>
          </w:p>
          <w:p w14:paraId="56BEF255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“Os depósitos constituídos [no/na] [nome da instituição] beneficiam da garantia de reembolso prestada pelo [nome da(s) entidade(s) do sistema de garantia] sempre que ocorra a indisponibilidade dos depósitos por razões directamente relacionadas com a sua situação financeira.</w:t>
            </w:r>
          </w:p>
          <w:p w14:paraId="76639AF1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</w:p>
          <w:p w14:paraId="663BF740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O [nome da entidade do sistema de garantia] garante o reembolso até ao valor máximo de [montante máximo de reembolso e moeda] por cada depositante. </w:t>
            </w:r>
          </w:p>
          <w:p w14:paraId="25893B14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</w:p>
          <w:p w14:paraId="1CAC262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No cálculo do valor dos depósitos de cada depositante, considera-se o valor do conjunto das contas de depósito na data em que se verificou a indisponibilidade de pagamento, incluindo os juros.</w:t>
            </w:r>
          </w:p>
          <w:p w14:paraId="1340E011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</w:p>
          <w:p w14:paraId="3AE0B89A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Para informações complementares consulte o endereço [endereço do(s) correspondente(s) sistema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(s) de garantia de depósitos]”.</w:t>
            </w:r>
          </w:p>
        </w:tc>
      </w:tr>
      <w:tr w:rsidR="00D2752A" w:rsidRPr="00AC0F10" w14:paraId="218AFCEA" w14:textId="77777777" w:rsidTr="003F4E66">
        <w:tc>
          <w:tcPr>
            <w:tcW w:w="4513" w:type="dxa"/>
            <w:shd w:val="clear" w:color="auto" w:fill="auto"/>
          </w:tcPr>
          <w:p w14:paraId="3840EF9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 xml:space="preserve">18. Instituição depositária </w:t>
            </w:r>
          </w:p>
        </w:tc>
        <w:tc>
          <w:tcPr>
            <w:tcW w:w="4513" w:type="dxa"/>
            <w:shd w:val="clear" w:color="auto" w:fill="auto"/>
          </w:tcPr>
          <w:p w14:paraId="2E342562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(Indicar a identificação da instituição depositária, os contactos e os meios ou locais através dos quais podem ser obtidas informações adicionais)</w:t>
            </w:r>
          </w:p>
        </w:tc>
      </w:tr>
      <w:tr w:rsidR="00D2752A" w:rsidRPr="00AC0F10" w14:paraId="0D3B42FE" w14:textId="77777777" w:rsidTr="003F4E66">
        <w:tc>
          <w:tcPr>
            <w:tcW w:w="9026" w:type="dxa"/>
            <w:gridSpan w:val="2"/>
            <w:shd w:val="clear" w:color="auto" w:fill="D9D9D9"/>
          </w:tcPr>
          <w:p w14:paraId="6C156E74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  <w:t>19. Validade das condições da FINDP</w:t>
            </w:r>
          </w:p>
        </w:tc>
      </w:tr>
      <w:tr w:rsidR="00D2752A" w:rsidRPr="00AC0F10" w14:paraId="6ADBB2C8" w14:textId="77777777" w:rsidTr="003F4E66">
        <w:tc>
          <w:tcPr>
            <w:tcW w:w="9026" w:type="dxa"/>
            <w:gridSpan w:val="2"/>
            <w:shd w:val="clear" w:color="auto" w:fill="auto"/>
          </w:tcPr>
          <w:p w14:paraId="3585BEA6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 xml:space="preserve">(Indicar o período de validade das condições apresentadas na ficha de informação normalizada de depósito a prazo ou outros depósitos, se aplicável). </w:t>
            </w:r>
          </w:p>
          <w:p w14:paraId="66EFBEDE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</w:pPr>
            <w:r w:rsidRPr="00A35036">
              <w:rPr>
                <w:rFonts w:ascii="Times New Roman" w:hAnsi="Times New Roman" w:cs="Times New Roman"/>
                <w:color w:val="000000"/>
                <w:sz w:val="26"/>
                <w:szCs w:val="26"/>
                <w:lang w:val="pt-PT"/>
              </w:rPr>
              <w:t>(Caso existam, indicar também as outras restrições à validade das condições apresentadas (por exemplo, montante máximo disponível para subscrição).</w:t>
            </w:r>
          </w:p>
          <w:p w14:paraId="167A3F51" w14:textId="77777777" w:rsidR="00D2752A" w:rsidRPr="00A35036" w:rsidRDefault="00D2752A" w:rsidP="003F4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PT"/>
              </w:rPr>
            </w:pPr>
          </w:p>
        </w:tc>
      </w:tr>
    </w:tbl>
    <w:p w14:paraId="096690E1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</w:pPr>
    </w:p>
    <w:p w14:paraId="3ED0C2B5" w14:textId="77777777" w:rsidR="00D2752A" w:rsidRPr="00A35036" w:rsidRDefault="00D2752A" w:rsidP="00D2752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  <w:br w:type="page"/>
      </w:r>
    </w:p>
    <w:p w14:paraId="69CA71B8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  <w:lastRenderedPageBreak/>
        <w:t>ANEXO IV</w:t>
      </w:r>
    </w:p>
    <w:p w14:paraId="16798320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  <w:t>Notas para preenchimento da FIND e FINDP</w:t>
      </w:r>
    </w:p>
    <w:p w14:paraId="4EA82FF3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pt-PT"/>
        </w:rPr>
      </w:pPr>
    </w:p>
    <w:p w14:paraId="25446880" w14:textId="77777777" w:rsidR="00D2752A" w:rsidRPr="00A35036" w:rsidRDefault="00D2752A" w:rsidP="00D2752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color w:val="000000"/>
          <w:sz w:val="26"/>
          <w:szCs w:val="26"/>
        </w:rPr>
        <w:t>A informação constante das fichas de informação normalizada deve ser preenchida de forma rigorosa e completa em letra de tamanho mínimo de 12 pontos.</w:t>
      </w:r>
    </w:p>
    <w:p w14:paraId="4C69CD91" w14:textId="77777777" w:rsidR="00D2752A" w:rsidRPr="00A35036" w:rsidRDefault="00D2752A" w:rsidP="00D2752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2001011" w14:textId="77777777" w:rsidR="00D2752A" w:rsidRPr="00A35036" w:rsidRDefault="00D2752A" w:rsidP="00D2752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color w:val="000000"/>
          <w:sz w:val="26"/>
          <w:szCs w:val="26"/>
        </w:rPr>
        <w:t>Em função das características do depósito, quando não for possível preencher algum dos campos previstos na ficha de informação normalizada deve ser referido nesse campo que o mesmo não é aplicável à situação concreta, mediante a inclusão da expressão “Não Aplicável”, N/A ou similar.</w:t>
      </w:r>
    </w:p>
    <w:p w14:paraId="27750E3B" w14:textId="77777777" w:rsidR="00D2752A" w:rsidRPr="00A35036" w:rsidRDefault="00D2752A" w:rsidP="00D2752A">
      <w:pPr>
        <w:pStyle w:val="ListParagraph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50AFADCC" w14:textId="77777777" w:rsidR="00D2752A" w:rsidRPr="00A35036" w:rsidRDefault="00D2752A" w:rsidP="00D2752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color w:val="000000"/>
          <w:sz w:val="26"/>
          <w:szCs w:val="26"/>
        </w:rPr>
        <w:t>Qualquer divulgação de valores históricos deve conter, com destaque similar ao que é dado aos valores apresentados, os seguintes elementos:</w:t>
      </w:r>
    </w:p>
    <w:p w14:paraId="7EAB4612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0BAC0E03" w14:textId="77777777" w:rsidR="00D2752A" w:rsidRPr="00A35036" w:rsidRDefault="00D2752A" w:rsidP="00D2752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color w:val="000000"/>
          <w:sz w:val="26"/>
          <w:szCs w:val="26"/>
        </w:rPr>
        <w:t>Esclarecimento, em termos adequados para a sua compreensão no contexto da mensagem, de que os valores divulgados representam dados passados, não constituindo garantia de rentabilidade para o futuro;</w:t>
      </w:r>
    </w:p>
    <w:p w14:paraId="62A24B1A" w14:textId="77777777" w:rsidR="00D2752A" w:rsidRPr="00A35036" w:rsidRDefault="00D2752A" w:rsidP="00D2752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727FF43" w14:textId="77777777" w:rsidR="00D2752A" w:rsidRPr="00A35036" w:rsidRDefault="00D2752A" w:rsidP="00D2752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color w:val="000000"/>
          <w:sz w:val="26"/>
          <w:szCs w:val="26"/>
        </w:rPr>
        <w:t>Identificação clara do período de referência, com indicação das respectivas datas de início e termo.</w:t>
      </w:r>
    </w:p>
    <w:p w14:paraId="24786683" w14:textId="77777777" w:rsidR="00D2752A" w:rsidRPr="00A35036" w:rsidRDefault="00D2752A" w:rsidP="00D27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PT"/>
        </w:rPr>
      </w:pPr>
    </w:p>
    <w:p w14:paraId="3A0179C5" w14:textId="77777777" w:rsidR="00D2752A" w:rsidRPr="00A35036" w:rsidRDefault="00D2752A" w:rsidP="00D2752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35036">
        <w:rPr>
          <w:rFonts w:ascii="Times New Roman" w:hAnsi="Times New Roman"/>
          <w:color w:val="000000"/>
          <w:sz w:val="26"/>
          <w:szCs w:val="26"/>
        </w:rPr>
        <w:t>Para a recolha dos dados históricos apresentados, não devem ser usados períodos de referência cujo termo tenha ocorrido há mais de um mês relativamente à data de início da divulgação da comercialização.</w:t>
      </w:r>
    </w:p>
    <w:p w14:paraId="65A94DA9" w14:textId="77777777" w:rsidR="00D2752A" w:rsidRPr="00A35036" w:rsidRDefault="00D2752A" w:rsidP="00D2752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pt-PT"/>
        </w:rPr>
      </w:pPr>
    </w:p>
    <w:p w14:paraId="2B153718" w14:textId="77777777" w:rsidR="00D2752A" w:rsidRPr="00A35036" w:rsidRDefault="00D2752A" w:rsidP="00D2752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pt-PT"/>
        </w:rPr>
      </w:pPr>
      <w:r w:rsidRPr="00A35036">
        <w:rPr>
          <w:rFonts w:ascii="Times New Roman" w:hAnsi="Times New Roman" w:cs="Times New Roman"/>
          <w:i/>
          <w:iCs/>
          <w:color w:val="000000"/>
          <w:sz w:val="26"/>
          <w:szCs w:val="26"/>
          <w:lang w:val="pt-PT"/>
        </w:rPr>
        <w:t xml:space="preserve"> </w:t>
      </w:r>
    </w:p>
    <w:p w14:paraId="67EF605E" w14:textId="77777777" w:rsidR="00D2752A" w:rsidRPr="00A35036" w:rsidRDefault="00D2752A" w:rsidP="00D2752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pt-PT"/>
        </w:rPr>
      </w:pPr>
    </w:p>
    <w:p w14:paraId="6550EF61" w14:textId="77777777" w:rsidR="00D2752A" w:rsidRPr="00A35036" w:rsidRDefault="00D2752A" w:rsidP="00D2752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pt-PT"/>
        </w:rPr>
      </w:pPr>
    </w:p>
    <w:p w14:paraId="6CFC5864" w14:textId="77777777" w:rsidR="00D2752A" w:rsidRPr="009A10F6" w:rsidRDefault="00D2752A" w:rsidP="00B0565F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sectPr w:rsidR="00D2752A" w:rsidRPr="009A10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2EE43" w14:textId="77777777" w:rsidR="007C29C3" w:rsidRDefault="007C29C3" w:rsidP="00B0565F">
      <w:pPr>
        <w:spacing w:after="0" w:line="240" w:lineRule="auto"/>
      </w:pPr>
      <w:r>
        <w:separator/>
      </w:r>
    </w:p>
  </w:endnote>
  <w:endnote w:type="continuationSeparator" w:id="0">
    <w:p w14:paraId="5C799816" w14:textId="77777777" w:rsidR="007C29C3" w:rsidRDefault="007C29C3" w:rsidP="00B0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935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B5733" w14:textId="4A038A68" w:rsidR="007C29C3" w:rsidRDefault="007C29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F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FD0A29" w14:textId="77777777" w:rsidR="007C29C3" w:rsidRDefault="007C2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9E62" w14:textId="77777777" w:rsidR="007C29C3" w:rsidRDefault="007C29C3" w:rsidP="00B0565F">
      <w:pPr>
        <w:spacing w:after="0" w:line="240" w:lineRule="auto"/>
      </w:pPr>
      <w:r>
        <w:separator/>
      </w:r>
    </w:p>
  </w:footnote>
  <w:footnote w:type="continuationSeparator" w:id="0">
    <w:p w14:paraId="4BD79293" w14:textId="77777777" w:rsidR="007C29C3" w:rsidRDefault="007C29C3" w:rsidP="00B0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F7F"/>
    <w:multiLevelType w:val="hybridMultilevel"/>
    <w:tmpl w:val="59F8D07E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E84D1F"/>
    <w:multiLevelType w:val="hybridMultilevel"/>
    <w:tmpl w:val="CECAC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510F"/>
    <w:multiLevelType w:val="hybridMultilevel"/>
    <w:tmpl w:val="E42E3F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2468A"/>
    <w:multiLevelType w:val="hybridMultilevel"/>
    <w:tmpl w:val="61B491CA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12D1990"/>
    <w:multiLevelType w:val="hybridMultilevel"/>
    <w:tmpl w:val="9F064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5778"/>
    <w:multiLevelType w:val="hybridMultilevel"/>
    <w:tmpl w:val="4FE21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B5885"/>
    <w:multiLevelType w:val="hybridMultilevel"/>
    <w:tmpl w:val="A1E423A4"/>
    <w:lvl w:ilvl="0" w:tplc="8410BFD4">
      <w:start w:val="1"/>
      <w:numFmt w:val="lowerRoman"/>
      <w:lvlText w:val="(%1)."/>
      <w:lvlJc w:val="righ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5C029D4"/>
    <w:multiLevelType w:val="hybridMultilevel"/>
    <w:tmpl w:val="AA5AAB5A"/>
    <w:lvl w:ilvl="0" w:tplc="CB82BC90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A73AAC"/>
    <w:multiLevelType w:val="hybridMultilevel"/>
    <w:tmpl w:val="50BEE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C31D0"/>
    <w:multiLevelType w:val="hybridMultilevel"/>
    <w:tmpl w:val="68DE8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742F"/>
    <w:multiLevelType w:val="hybridMultilevel"/>
    <w:tmpl w:val="1ADE25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42A3E"/>
    <w:multiLevelType w:val="hybridMultilevel"/>
    <w:tmpl w:val="FB208CAE"/>
    <w:lvl w:ilvl="0" w:tplc="C9EA8E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57BBC"/>
    <w:multiLevelType w:val="hybridMultilevel"/>
    <w:tmpl w:val="3E64D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362D3"/>
    <w:multiLevelType w:val="hybridMultilevel"/>
    <w:tmpl w:val="17BCD1F0"/>
    <w:lvl w:ilvl="0" w:tplc="8A8ECB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5B01FA"/>
    <w:multiLevelType w:val="hybridMultilevel"/>
    <w:tmpl w:val="F278A7E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B8829C8"/>
    <w:multiLevelType w:val="multilevel"/>
    <w:tmpl w:val="EF6473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E0C41BA"/>
    <w:multiLevelType w:val="hybridMultilevel"/>
    <w:tmpl w:val="7D9E7E14"/>
    <w:lvl w:ilvl="0" w:tplc="0809001B">
      <w:start w:val="1"/>
      <w:numFmt w:val="lowerRoman"/>
      <w:lvlText w:val="%1."/>
      <w:lvlJc w:val="righ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8E41BE"/>
    <w:multiLevelType w:val="hybridMultilevel"/>
    <w:tmpl w:val="B776CF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0F83"/>
    <w:multiLevelType w:val="hybridMultilevel"/>
    <w:tmpl w:val="B434D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6C05AD"/>
    <w:multiLevelType w:val="hybridMultilevel"/>
    <w:tmpl w:val="E77C3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E16185"/>
    <w:multiLevelType w:val="hybridMultilevel"/>
    <w:tmpl w:val="B082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550DB"/>
    <w:multiLevelType w:val="hybridMultilevel"/>
    <w:tmpl w:val="00481642"/>
    <w:lvl w:ilvl="0" w:tplc="5442DF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A616D"/>
    <w:multiLevelType w:val="hybridMultilevel"/>
    <w:tmpl w:val="BB88D18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C15A55"/>
    <w:multiLevelType w:val="hybridMultilevel"/>
    <w:tmpl w:val="79D08CF0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4" w15:restartNumberingAfterBreak="0">
    <w:nsid w:val="3B1303B6"/>
    <w:multiLevelType w:val="hybridMultilevel"/>
    <w:tmpl w:val="0270C39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594B1E"/>
    <w:multiLevelType w:val="hybridMultilevel"/>
    <w:tmpl w:val="4178F5FE"/>
    <w:lvl w:ilvl="0" w:tplc="FFFFFFFF">
      <w:start w:val="1"/>
      <w:numFmt w:val="decimal"/>
      <w:pStyle w:val="NumeroArtigo"/>
      <w:lvlText w:val="%1."/>
      <w:lvlJc w:val="left"/>
      <w:pPr>
        <w:ind w:left="360" w:hanging="360"/>
      </w:pPr>
      <w:rPr>
        <w:b w:val="0"/>
      </w:rPr>
    </w:lvl>
    <w:lvl w:ilvl="1" w:tplc="57CEEFD4">
      <w:start w:val="1"/>
      <w:numFmt w:val="lowerLetter"/>
      <w:lvlText w:val="%2)"/>
      <w:lvlJc w:val="left"/>
      <w:pPr>
        <w:tabs>
          <w:tab w:val="num" w:pos="785"/>
        </w:tabs>
        <w:ind w:left="765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EA6F0B"/>
    <w:multiLevelType w:val="hybridMultilevel"/>
    <w:tmpl w:val="84923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DC29E3"/>
    <w:multiLevelType w:val="hybridMultilevel"/>
    <w:tmpl w:val="DD2C6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21614"/>
    <w:multiLevelType w:val="hybridMultilevel"/>
    <w:tmpl w:val="3D44D3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8A29B9"/>
    <w:multiLevelType w:val="hybridMultilevel"/>
    <w:tmpl w:val="C49AE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C67006"/>
    <w:multiLevelType w:val="hybridMultilevel"/>
    <w:tmpl w:val="C1DE067A"/>
    <w:lvl w:ilvl="0" w:tplc="EB78F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82544"/>
    <w:multiLevelType w:val="hybridMultilevel"/>
    <w:tmpl w:val="B1AA633E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2" w15:restartNumberingAfterBreak="0">
    <w:nsid w:val="4AFD12D1"/>
    <w:multiLevelType w:val="hybridMultilevel"/>
    <w:tmpl w:val="CEAAFE3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B26D23"/>
    <w:multiLevelType w:val="hybridMultilevel"/>
    <w:tmpl w:val="6A98C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B6657A"/>
    <w:multiLevelType w:val="hybridMultilevel"/>
    <w:tmpl w:val="86C00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5234E"/>
    <w:multiLevelType w:val="hybridMultilevel"/>
    <w:tmpl w:val="3A1A6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B61986"/>
    <w:multiLevelType w:val="hybridMultilevel"/>
    <w:tmpl w:val="50BEE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AE3AB0"/>
    <w:multiLevelType w:val="hybridMultilevel"/>
    <w:tmpl w:val="1158CB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8A28CF"/>
    <w:multiLevelType w:val="hybridMultilevel"/>
    <w:tmpl w:val="C2605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B602C"/>
    <w:multiLevelType w:val="hybridMultilevel"/>
    <w:tmpl w:val="B788893E"/>
    <w:lvl w:ilvl="0" w:tplc="E1B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C0041A"/>
    <w:multiLevelType w:val="hybridMultilevel"/>
    <w:tmpl w:val="B788893E"/>
    <w:lvl w:ilvl="0" w:tplc="E1B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F247F3"/>
    <w:multiLevelType w:val="hybridMultilevel"/>
    <w:tmpl w:val="78B6816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243214"/>
    <w:multiLevelType w:val="hybridMultilevel"/>
    <w:tmpl w:val="4C8036D8"/>
    <w:lvl w:ilvl="0" w:tplc="EC865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83771A"/>
    <w:multiLevelType w:val="hybridMultilevel"/>
    <w:tmpl w:val="D54207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11017"/>
    <w:multiLevelType w:val="hybridMultilevel"/>
    <w:tmpl w:val="0BDAF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40150"/>
    <w:multiLevelType w:val="hybridMultilevel"/>
    <w:tmpl w:val="AE707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0B48C8"/>
    <w:multiLevelType w:val="hybridMultilevel"/>
    <w:tmpl w:val="E7B46B4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306A5"/>
    <w:multiLevelType w:val="hybridMultilevel"/>
    <w:tmpl w:val="3E12B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4A3C14"/>
    <w:multiLevelType w:val="hybridMultilevel"/>
    <w:tmpl w:val="12BAF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0"/>
  </w:num>
  <w:num w:numId="4">
    <w:abstractNumId w:val="21"/>
  </w:num>
  <w:num w:numId="5">
    <w:abstractNumId w:val="14"/>
  </w:num>
  <w:num w:numId="6">
    <w:abstractNumId w:val="3"/>
  </w:num>
  <w:num w:numId="7">
    <w:abstractNumId w:val="16"/>
  </w:num>
  <w:num w:numId="8">
    <w:abstractNumId w:val="18"/>
  </w:num>
  <w:num w:numId="9">
    <w:abstractNumId w:val="41"/>
  </w:num>
  <w:num w:numId="10">
    <w:abstractNumId w:val="2"/>
  </w:num>
  <w:num w:numId="11">
    <w:abstractNumId w:val="37"/>
  </w:num>
  <w:num w:numId="12">
    <w:abstractNumId w:val="42"/>
  </w:num>
  <w:num w:numId="13">
    <w:abstractNumId w:val="11"/>
  </w:num>
  <w:num w:numId="14">
    <w:abstractNumId w:val="39"/>
  </w:num>
  <w:num w:numId="15">
    <w:abstractNumId w:val="25"/>
  </w:num>
  <w:num w:numId="16">
    <w:abstractNumId w:val="44"/>
  </w:num>
  <w:num w:numId="17">
    <w:abstractNumId w:val="23"/>
  </w:num>
  <w:num w:numId="18">
    <w:abstractNumId w:val="19"/>
  </w:num>
  <w:num w:numId="19">
    <w:abstractNumId w:val="40"/>
  </w:num>
  <w:num w:numId="20">
    <w:abstractNumId w:val="35"/>
  </w:num>
  <w:num w:numId="21">
    <w:abstractNumId w:val="31"/>
  </w:num>
  <w:num w:numId="22">
    <w:abstractNumId w:val="9"/>
  </w:num>
  <w:num w:numId="23">
    <w:abstractNumId w:val="48"/>
  </w:num>
  <w:num w:numId="24">
    <w:abstractNumId w:val="28"/>
  </w:num>
  <w:num w:numId="25">
    <w:abstractNumId w:val="43"/>
  </w:num>
  <w:num w:numId="26">
    <w:abstractNumId w:val="34"/>
  </w:num>
  <w:num w:numId="27">
    <w:abstractNumId w:val="5"/>
  </w:num>
  <w:num w:numId="28">
    <w:abstractNumId w:val="8"/>
  </w:num>
  <w:num w:numId="29">
    <w:abstractNumId w:val="47"/>
  </w:num>
  <w:num w:numId="30">
    <w:abstractNumId w:val="29"/>
  </w:num>
  <w:num w:numId="31">
    <w:abstractNumId w:val="15"/>
  </w:num>
  <w:num w:numId="32">
    <w:abstractNumId w:val="45"/>
  </w:num>
  <w:num w:numId="33">
    <w:abstractNumId w:val="38"/>
  </w:num>
  <w:num w:numId="34">
    <w:abstractNumId w:val="13"/>
  </w:num>
  <w:num w:numId="35">
    <w:abstractNumId w:val="7"/>
  </w:num>
  <w:num w:numId="36">
    <w:abstractNumId w:val="6"/>
  </w:num>
  <w:num w:numId="37">
    <w:abstractNumId w:val="26"/>
  </w:num>
  <w:num w:numId="38">
    <w:abstractNumId w:val="24"/>
  </w:num>
  <w:num w:numId="39">
    <w:abstractNumId w:val="12"/>
  </w:num>
  <w:num w:numId="40">
    <w:abstractNumId w:val="17"/>
  </w:num>
  <w:num w:numId="41">
    <w:abstractNumId w:val="4"/>
  </w:num>
  <w:num w:numId="42">
    <w:abstractNumId w:val="0"/>
  </w:num>
  <w:num w:numId="43">
    <w:abstractNumId w:val="25"/>
  </w:num>
  <w:num w:numId="44">
    <w:abstractNumId w:val="10"/>
  </w:num>
  <w:num w:numId="45">
    <w:abstractNumId w:val="33"/>
  </w:num>
  <w:num w:numId="46">
    <w:abstractNumId w:val="27"/>
  </w:num>
  <w:num w:numId="47">
    <w:abstractNumId w:val="1"/>
  </w:num>
  <w:num w:numId="48">
    <w:abstractNumId w:val="20"/>
  </w:num>
  <w:num w:numId="49">
    <w:abstractNumId w:val="3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5F"/>
    <w:rsid w:val="0003324E"/>
    <w:rsid w:val="0009241B"/>
    <w:rsid w:val="000A5737"/>
    <w:rsid w:val="000C6D80"/>
    <w:rsid w:val="000E05C0"/>
    <w:rsid w:val="00112897"/>
    <w:rsid w:val="00134BEE"/>
    <w:rsid w:val="00142BFB"/>
    <w:rsid w:val="001643BB"/>
    <w:rsid w:val="00172807"/>
    <w:rsid w:val="00190157"/>
    <w:rsid w:val="00227E09"/>
    <w:rsid w:val="0023710B"/>
    <w:rsid w:val="00261F40"/>
    <w:rsid w:val="00273B30"/>
    <w:rsid w:val="00294050"/>
    <w:rsid w:val="002C7126"/>
    <w:rsid w:val="002E2810"/>
    <w:rsid w:val="002F4865"/>
    <w:rsid w:val="002F4924"/>
    <w:rsid w:val="00304298"/>
    <w:rsid w:val="0033711D"/>
    <w:rsid w:val="003522A7"/>
    <w:rsid w:val="003A2AFC"/>
    <w:rsid w:val="003F4E66"/>
    <w:rsid w:val="0041696F"/>
    <w:rsid w:val="0042203F"/>
    <w:rsid w:val="00454E3B"/>
    <w:rsid w:val="004576E1"/>
    <w:rsid w:val="0049611B"/>
    <w:rsid w:val="004B69B9"/>
    <w:rsid w:val="004E5E55"/>
    <w:rsid w:val="004E7767"/>
    <w:rsid w:val="00553C6D"/>
    <w:rsid w:val="005C43AE"/>
    <w:rsid w:val="005C4EE3"/>
    <w:rsid w:val="005D5AA0"/>
    <w:rsid w:val="00612AF5"/>
    <w:rsid w:val="00645CD5"/>
    <w:rsid w:val="0065687A"/>
    <w:rsid w:val="006821AA"/>
    <w:rsid w:val="0069060E"/>
    <w:rsid w:val="006D29E7"/>
    <w:rsid w:val="006D3F91"/>
    <w:rsid w:val="006D7EAD"/>
    <w:rsid w:val="006E1B3A"/>
    <w:rsid w:val="0070008E"/>
    <w:rsid w:val="00751FC3"/>
    <w:rsid w:val="00762DCF"/>
    <w:rsid w:val="00766EB8"/>
    <w:rsid w:val="00776C08"/>
    <w:rsid w:val="00785953"/>
    <w:rsid w:val="00795F74"/>
    <w:rsid w:val="007C29C3"/>
    <w:rsid w:val="007C5BBA"/>
    <w:rsid w:val="007C67DE"/>
    <w:rsid w:val="00801E3B"/>
    <w:rsid w:val="00804114"/>
    <w:rsid w:val="00807C13"/>
    <w:rsid w:val="00821723"/>
    <w:rsid w:val="0082263D"/>
    <w:rsid w:val="00854F86"/>
    <w:rsid w:val="0087474A"/>
    <w:rsid w:val="00886E51"/>
    <w:rsid w:val="00895E2B"/>
    <w:rsid w:val="008C7FB8"/>
    <w:rsid w:val="008D53B0"/>
    <w:rsid w:val="008D64C3"/>
    <w:rsid w:val="008E04C3"/>
    <w:rsid w:val="008E0B43"/>
    <w:rsid w:val="0098741D"/>
    <w:rsid w:val="009953E7"/>
    <w:rsid w:val="009A10F6"/>
    <w:rsid w:val="009A1D63"/>
    <w:rsid w:val="009B30F8"/>
    <w:rsid w:val="00A23B6A"/>
    <w:rsid w:val="00A503D2"/>
    <w:rsid w:val="00AB1B1A"/>
    <w:rsid w:val="00AB7FAE"/>
    <w:rsid w:val="00AC0F10"/>
    <w:rsid w:val="00AC2659"/>
    <w:rsid w:val="00AE0807"/>
    <w:rsid w:val="00AF1515"/>
    <w:rsid w:val="00B0460B"/>
    <w:rsid w:val="00B0565F"/>
    <w:rsid w:val="00B321FC"/>
    <w:rsid w:val="00B54804"/>
    <w:rsid w:val="00BA3675"/>
    <w:rsid w:val="00C27AE1"/>
    <w:rsid w:val="00C441FB"/>
    <w:rsid w:val="00C66587"/>
    <w:rsid w:val="00C846FD"/>
    <w:rsid w:val="00D06230"/>
    <w:rsid w:val="00D2752A"/>
    <w:rsid w:val="00D42828"/>
    <w:rsid w:val="00D64701"/>
    <w:rsid w:val="00D95BCA"/>
    <w:rsid w:val="00D97FB4"/>
    <w:rsid w:val="00DB56B3"/>
    <w:rsid w:val="00DC6B5B"/>
    <w:rsid w:val="00DF018E"/>
    <w:rsid w:val="00E3700E"/>
    <w:rsid w:val="00E45D49"/>
    <w:rsid w:val="00E810F6"/>
    <w:rsid w:val="00E84B5B"/>
    <w:rsid w:val="00E91A1B"/>
    <w:rsid w:val="00F27C25"/>
    <w:rsid w:val="00FA5C07"/>
    <w:rsid w:val="00FB5470"/>
    <w:rsid w:val="00FE74AC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0E88"/>
  <w15:chartTrackingRefBased/>
  <w15:docId w15:val="{4292E237-CD3B-4923-8275-333BCA2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5F"/>
  </w:style>
  <w:style w:type="paragraph" w:styleId="Heading1">
    <w:name w:val="heading 1"/>
    <w:basedOn w:val="Normal"/>
    <w:next w:val="Normal"/>
    <w:link w:val="Heading1Char"/>
    <w:uiPriority w:val="9"/>
    <w:qFormat/>
    <w:rsid w:val="00B05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5F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4"/>
      <w:szCs w:val="24"/>
      <w:u w:val="single"/>
      <w:lang w:val="pt-P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5F"/>
    <w:pPr>
      <w:keepNext/>
      <w:spacing w:after="0"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  <w:lang w:val="pt-P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5F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5F"/>
    <w:rPr>
      <w:rFonts w:ascii="Times New Roman" w:hAnsi="Times New Roman" w:cs="Times New Roman"/>
      <w:b/>
      <w:sz w:val="24"/>
      <w:szCs w:val="24"/>
      <w:u w:val="single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rsid w:val="00B0565F"/>
    <w:rPr>
      <w:rFonts w:ascii="Times New Roman" w:hAnsi="Times New Roman" w:cs="Times New Roman"/>
      <w:b/>
      <w:sz w:val="24"/>
      <w:szCs w:val="24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rsid w:val="00B0565F"/>
    <w:rPr>
      <w:rFonts w:ascii="Times New Roman" w:hAnsi="Times New Roman" w:cs="Times New Roman"/>
      <w:b/>
      <w:sz w:val="24"/>
      <w:szCs w:val="24"/>
      <w:lang w:val="pt-PT"/>
    </w:rPr>
  </w:style>
  <w:style w:type="table" w:styleId="TableGrid">
    <w:name w:val="Table Grid"/>
    <w:basedOn w:val="TableNormal"/>
    <w:uiPriority w:val="39"/>
    <w:rsid w:val="00B0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B0565F"/>
    <w:pPr>
      <w:spacing w:after="120" w:line="480" w:lineRule="auto"/>
    </w:pPr>
    <w:rPr>
      <w:rFonts w:ascii="Calibri" w:eastAsia="Calibri" w:hAnsi="Calibri" w:cs="Times New Roman"/>
      <w:lang w:val="pt-PT"/>
    </w:rPr>
  </w:style>
  <w:style w:type="character" w:customStyle="1" w:styleId="BodyText2Char">
    <w:name w:val="Body Text 2 Char"/>
    <w:basedOn w:val="DefaultParagraphFont"/>
    <w:link w:val="BodyText2"/>
    <w:uiPriority w:val="99"/>
    <w:rsid w:val="00B0565F"/>
    <w:rPr>
      <w:rFonts w:ascii="Calibri" w:eastAsia="Calibri" w:hAnsi="Calibri" w:cs="Times New Roman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B0565F"/>
    <w:pPr>
      <w:ind w:left="720"/>
      <w:contextualSpacing/>
    </w:pPr>
    <w:rPr>
      <w:rFonts w:ascii="Calibri" w:eastAsia="Calibri" w:hAnsi="Calibri" w:cs="Times New Roman"/>
      <w:lang w:val="pt-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05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565F"/>
  </w:style>
  <w:style w:type="paragraph" w:styleId="NoSpacing">
    <w:name w:val="No Spacing"/>
    <w:uiPriority w:val="1"/>
    <w:qFormat/>
    <w:rsid w:val="00B056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B0565F"/>
    <w:rPr>
      <w:rFonts w:ascii="Calibri" w:eastAsia="Calibri" w:hAnsi="Calibri" w:cs="Times New Roman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B05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5F"/>
  </w:style>
  <w:style w:type="paragraph" w:styleId="Footer">
    <w:name w:val="footer"/>
    <w:basedOn w:val="Normal"/>
    <w:link w:val="FooterChar"/>
    <w:uiPriority w:val="99"/>
    <w:unhideWhenUsed/>
    <w:rsid w:val="00B05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5F"/>
  </w:style>
  <w:style w:type="paragraph" w:customStyle="1" w:styleId="NumeroArtigo">
    <w:name w:val="NumeroArtigo"/>
    <w:basedOn w:val="Normal"/>
    <w:qFormat/>
    <w:rsid w:val="00B0565F"/>
    <w:pPr>
      <w:numPr>
        <w:numId w:val="15"/>
      </w:numPr>
      <w:spacing w:before="240" w:after="240" w:line="276" w:lineRule="auto"/>
      <w:jc w:val="both"/>
    </w:pPr>
    <w:rPr>
      <w:rFonts w:ascii="Times New Roman" w:eastAsia="Times New Roman" w:hAnsi="Times New Roman" w:cs="Arial"/>
      <w:sz w:val="24"/>
      <w:szCs w:val="24"/>
      <w:lang w:val="pt-PT"/>
    </w:rPr>
  </w:style>
  <w:style w:type="character" w:styleId="Emphasis">
    <w:name w:val="Emphasis"/>
    <w:uiPriority w:val="20"/>
    <w:qFormat/>
    <w:rsid w:val="00D275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ACDA-3BAD-4437-97EE-0132F9F3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5026</Words>
  <Characters>27143</Characters>
  <Application>Microsoft Office Word</Application>
  <DocSecurity>4</DocSecurity>
  <Lines>226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</dc:creator>
  <cp:keywords/>
  <dc:description/>
  <cp:lastModifiedBy>Emília C. Fanuel Mabunda</cp:lastModifiedBy>
  <cp:revision>2</cp:revision>
  <cp:lastPrinted>2023-10-23T13:00:00Z</cp:lastPrinted>
  <dcterms:created xsi:type="dcterms:W3CDTF">2023-10-26T14:56:00Z</dcterms:created>
  <dcterms:modified xsi:type="dcterms:W3CDTF">2023-10-26T14:56:00Z</dcterms:modified>
</cp:coreProperties>
</file>